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32" w:rsidRPr="00804F5F" w:rsidRDefault="00B00932" w:rsidP="00B00932">
      <w:pPr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Schedule for</w:t>
      </w:r>
      <w:r w:rsidR="001920C7" w:rsidRPr="00804F5F">
        <w:rPr>
          <w:rFonts w:cstheme="minorHAnsi"/>
          <w:b/>
          <w:szCs w:val="24"/>
        </w:rPr>
        <w:t xml:space="preserve"> UG</w:t>
      </w:r>
      <w:r w:rsidRPr="00804F5F">
        <w:rPr>
          <w:rFonts w:cstheme="minorHAnsi"/>
          <w:b/>
          <w:szCs w:val="24"/>
        </w:rPr>
        <w:t xml:space="preserve"> Programme </w:t>
      </w:r>
      <w:r w:rsidR="003732BA" w:rsidRPr="00804F5F">
        <w:rPr>
          <w:rFonts w:cstheme="minorHAnsi"/>
          <w:b/>
          <w:szCs w:val="24"/>
        </w:rPr>
        <w:t>(</w:t>
      </w:r>
      <w:r w:rsidRPr="00804F5F">
        <w:rPr>
          <w:rFonts w:cstheme="minorHAnsi"/>
          <w:b/>
          <w:szCs w:val="24"/>
        </w:rPr>
        <w:t>Development</w:t>
      </w:r>
      <w:r w:rsidR="003732BA" w:rsidRPr="00804F5F">
        <w:rPr>
          <w:rFonts w:cstheme="minorHAnsi"/>
          <w:b/>
          <w:szCs w:val="24"/>
        </w:rPr>
        <w:t>)</w:t>
      </w:r>
      <w:r w:rsidRPr="00804F5F">
        <w:rPr>
          <w:rFonts w:cstheme="minorHAnsi"/>
          <w:b/>
          <w:szCs w:val="24"/>
        </w:rPr>
        <w:t xml:space="preserve"> T</w:t>
      </w:r>
      <w:r w:rsidR="003732BA" w:rsidRPr="00804F5F">
        <w:rPr>
          <w:rFonts w:cstheme="minorHAnsi"/>
          <w:b/>
          <w:szCs w:val="24"/>
        </w:rPr>
        <w:t>eam Meetings</w:t>
      </w:r>
    </w:p>
    <w:p w:rsidR="003732BA" w:rsidRPr="00804F5F" w:rsidRDefault="003732BA" w:rsidP="00B00932">
      <w:p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Programme Team Meetings provide key opportunities f</w:t>
      </w:r>
      <w:r w:rsidR="001920C7" w:rsidRPr="00804F5F">
        <w:rPr>
          <w:rFonts w:cstheme="minorHAnsi"/>
          <w:szCs w:val="24"/>
        </w:rPr>
        <w:t xml:space="preserve">or developmental conversations </w:t>
      </w:r>
      <w:r w:rsidR="00C50A74" w:rsidRPr="00804F5F">
        <w:rPr>
          <w:rFonts w:cstheme="minorHAnsi"/>
          <w:szCs w:val="24"/>
        </w:rPr>
        <w:t>that</w:t>
      </w:r>
      <w:r w:rsidR="001920C7" w:rsidRPr="00804F5F">
        <w:rPr>
          <w:rFonts w:cstheme="minorHAnsi"/>
          <w:szCs w:val="24"/>
        </w:rPr>
        <w:t xml:space="preserve"> will </w:t>
      </w:r>
      <w:r w:rsidR="00C50A74" w:rsidRPr="00804F5F">
        <w:rPr>
          <w:rFonts w:cstheme="minorHAnsi"/>
          <w:szCs w:val="24"/>
        </w:rPr>
        <w:t>have common and course-specific themes.</w:t>
      </w:r>
      <w:r w:rsidR="001920C7" w:rsidRPr="00804F5F">
        <w:rPr>
          <w:rFonts w:cstheme="minorHAnsi"/>
          <w:szCs w:val="24"/>
        </w:rPr>
        <w:t xml:space="preserve"> This document sets out </w:t>
      </w:r>
      <w:r w:rsidR="00C50A74" w:rsidRPr="00804F5F">
        <w:rPr>
          <w:rFonts w:cstheme="minorHAnsi"/>
          <w:szCs w:val="24"/>
        </w:rPr>
        <w:t xml:space="preserve">meeting agenda </w:t>
      </w:r>
      <w:r w:rsidR="00017FE9" w:rsidRPr="00804F5F">
        <w:rPr>
          <w:rFonts w:cstheme="minorHAnsi"/>
          <w:szCs w:val="24"/>
        </w:rPr>
        <w:t xml:space="preserve">and </w:t>
      </w:r>
      <w:r w:rsidR="00C50A74" w:rsidRPr="00804F5F">
        <w:rPr>
          <w:rFonts w:cstheme="minorHAnsi"/>
          <w:szCs w:val="24"/>
        </w:rPr>
        <w:t xml:space="preserve">reflects </w:t>
      </w:r>
      <w:r w:rsidR="001920C7" w:rsidRPr="00804F5F">
        <w:rPr>
          <w:rFonts w:cstheme="minorHAnsi"/>
          <w:szCs w:val="24"/>
        </w:rPr>
        <w:t>the introduction of continuous monitoring and evaluation (CME)</w:t>
      </w:r>
      <w:r w:rsidR="000F6585" w:rsidRPr="00804F5F">
        <w:rPr>
          <w:rFonts w:cstheme="minorHAnsi"/>
          <w:szCs w:val="24"/>
        </w:rPr>
        <w:t xml:space="preserve"> in</w:t>
      </w:r>
      <w:r w:rsidR="00C50A74" w:rsidRPr="00804F5F">
        <w:rPr>
          <w:rFonts w:cstheme="minorHAnsi"/>
          <w:szCs w:val="24"/>
        </w:rPr>
        <w:t xml:space="preserve"> 2016/17</w:t>
      </w:r>
      <w:r w:rsidR="001920C7" w:rsidRPr="00804F5F">
        <w:rPr>
          <w:rFonts w:cstheme="minorHAnsi"/>
          <w:szCs w:val="24"/>
        </w:rPr>
        <w:t>.</w:t>
      </w:r>
    </w:p>
    <w:p w:rsidR="001920C7" w:rsidRPr="00804F5F" w:rsidRDefault="001920C7" w:rsidP="00B00932">
      <w:pPr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Membership</w:t>
      </w:r>
    </w:p>
    <w:p w:rsidR="001920C7" w:rsidRPr="00804F5F" w:rsidRDefault="00B00932" w:rsidP="001920C7">
      <w:p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 xml:space="preserve">The Programme Leader </w:t>
      </w:r>
      <w:r w:rsidR="001920C7" w:rsidRPr="00804F5F">
        <w:rPr>
          <w:rFonts w:cstheme="minorHAnsi"/>
          <w:szCs w:val="24"/>
        </w:rPr>
        <w:t xml:space="preserve">chairs Programme (Development) Team </w:t>
      </w:r>
      <w:r w:rsidR="00C50A74" w:rsidRPr="00804F5F">
        <w:rPr>
          <w:rFonts w:cstheme="minorHAnsi"/>
          <w:szCs w:val="24"/>
        </w:rPr>
        <w:t xml:space="preserve">(PDT) </w:t>
      </w:r>
      <w:r w:rsidR="001920C7" w:rsidRPr="00804F5F">
        <w:rPr>
          <w:rFonts w:cstheme="minorHAnsi"/>
          <w:szCs w:val="24"/>
        </w:rPr>
        <w:t xml:space="preserve">Meetings </w:t>
      </w:r>
      <w:r w:rsidRPr="00804F5F">
        <w:rPr>
          <w:rFonts w:cstheme="minorHAnsi"/>
          <w:szCs w:val="24"/>
        </w:rPr>
        <w:t>and the programme team will decide on membership. In case</w:t>
      </w:r>
      <w:r w:rsidR="00C018D6" w:rsidRPr="00804F5F">
        <w:rPr>
          <w:rFonts w:cstheme="minorHAnsi"/>
          <w:szCs w:val="24"/>
        </w:rPr>
        <w:t>s</w:t>
      </w:r>
      <w:r w:rsidRPr="00804F5F">
        <w:rPr>
          <w:rFonts w:cstheme="minorHAnsi"/>
          <w:szCs w:val="24"/>
        </w:rPr>
        <w:t xml:space="preserve"> where staff members contribute to multiple programmes, they would not be expected to attend more than two distinct PDTs.</w:t>
      </w:r>
      <w:r w:rsidR="001920C7" w:rsidRPr="00804F5F">
        <w:rPr>
          <w:rFonts w:cstheme="minorHAnsi"/>
          <w:szCs w:val="24"/>
        </w:rPr>
        <w:t xml:space="preserve"> </w:t>
      </w:r>
      <w:r w:rsidR="001920C7" w:rsidRPr="00804F5F">
        <w:rPr>
          <w:rFonts w:cstheme="minorHAnsi"/>
          <w:b/>
          <w:szCs w:val="24"/>
        </w:rPr>
        <w:t>Student representatives must attend a minimum of one programme team meeting each year and the March meeting is optimal for this purpose</w:t>
      </w:r>
      <w:r w:rsidR="001920C7" w:rsidRPr="00804F5F">
        <w:rPr>
          <w:rFonts w:cstheme="minorHAnsi"/>
          <w:szCs w:val="24"/>
        </w:rPr>
        <w:t>.</w:t>
      </w:r>
      <w:r w:rsidR="00C50A74" w:rsidRPr="00804F5F">
        <w:rPr>
          <w:rFonts w:cstheme="minorHAnsi"/>
          <w:szCs w:val="24"/>
        </w:rPr>
        <w:t xml:space="preserve"> For Programmes with shared Boards of Study, more student-attended meetings may be favoured.</w:t>
      </w:r>
    </w:p>
    <w:p w:rsidR="001920C7" w:rsidRPr="00804F5F" w:rsidRDefault="008A6391" w:rsidP="001920C7">
      <w:pPr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Minutes</w:t>
      </w:r>
    </w:p>
    <w:p w:rsidR="00B00932" w:rsidRPr="00804F5F" w:rsidRDefault="001920C7" w:rsidP="001920C7">
      <w:p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Discussions at Programme Meetings will feed into CME. In addition, e</w:t>
      </w:r>
      <w:r w:rsidR="00B00932" w:rsidRPr="00804F5F">
        <w:rPr>
          <w:rFonts w:cstheme="minorHAnsi"/>
          <w:szCs w:val="24"/>
        </w:rPr>
        <w:t xml:space="preserve">ach meeting will be attended by a Programme Administrator </w:t>
      </w:r>
      <w:r w:rsidR="003732BA" w:rsidRPr="00804F5F">
        <w:rPr>
          <w:rFonts w:cstheme="minorHAnsi"/>
          <w:szCs w:val="24"/>
        </w:rPr>
        <w:t xml:space="preserve">for one hour </w:t>
      </w:r>
      <w:r w:rsidR="00B00932" w:rsidRPr="00804F5F">
        <w:rPr>
          <w:rFonts w:cstheme="minorHAnsi"/>
          <w:szCs w:val="24"/>
        </w:rPr>
        <w:t xml:space="preserve">who will record attendance, apologies and keep an action log. </w:t>
      </w:r>
      <w:r w:rsidR="00C018D6" w:rsidRPr="00804F5F">
        <w:rPr>
          <w:rFonts w:cstheme="minorHAnsi"/>
          <w:szCs w:val="24"/>
        </w:rPr>
        <w:t>S</w:t>
      </w:r>
      <w:r w:rsidR="00B00932" w:rsidRPr="00804F5F">
        <w:rPr>
          <w:rFonts w:cstheme="minorHAnsi"/>
          <w:szCs w:val="24"/>
        </w:rPr>
        <w:t>ummary tables of members’ attendance will be produced at the end of the year, in common with other committees and panels.</w:t>
      </w:r>
    </w:p>
    <w:p w:rsidR="009E3FC6" w:rsidRPr="00804F5F" w:rsidRDefault="009E3FC6" w:rsidP="009E3FC6">
      <w:pPr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Meeting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136"/>
      </w:tblGrid>
      <w:tr w:rsidR="00A513ED" w:rsidRPr="00804F5F" w:rsidTr="004C6E39">
        <w:tc>
          <w:tcPr>
            <w:tcW w:w="1215" w:type="dxa"/>
          </w:tcPr>
          <w:p w:rsidR="009E3FC6" w:rsidRPr="00804F5F" w:rsidRDefault="009E3FC6" w:rsidP="009E3FC6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Date</w:t>
            </w:r>
          </w:p>
        </w:tc>
        <w:tc>
          <w:tcPr>
            <w:tcW w:w="8136" w:type="dxa"/>
          </w:tcPr>
          <w:p w:rsidR="009E3FC6" w:rsidRPr="00804F5F" w:rsidRDefault="009E3FC6" w:rsidP="004A5371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August/September</w:t>
            </w:r>
          </w:p>
        </w:tc>
      </w:tr>
      <w:tr w:rsidR="00A513ED" w:rsidRPr="00804F5F" w:rsidTr="004C6E39">
        <w:tc>
          <w:tcPr>
            <w:tcW w:w="1215" w:type="dxa"/>
          </w:tcPr>
          <w:p w:rsidR="009E3FC6" w:rsidRPr="00804F5F" w:rsidRDefault="009E3FC6" w:rsidP="009E3FC6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Agenda</w:t>
            </w:r>
          </w:p>
        </w:tc>
        <w:tc>
          <w:tcPr>
            <w:tcW w:w="8136" w:type="dxa"/>
          </w:tcPr>
          <w:p w:rsidR="009E3FC6" w:rsidRPr="00804F5F" w:rsidRDefault="009E3FC6" w:rsidP="009E3FC6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 xml:space="preserve">Agree NSS </w:t>
            </w:r>
            <w:r w:rsidR="00585F88" w:rsidRPr="00804F5F">
              <w:rPr>
                <w:rFonts w:cstheme="minorHAnsi"/>
                <w:szCs w:val="24"/>
              </w:rPr>
              <w:t>c</w:t>
            </w:r>
            <w:r w:rsidRPr="00804F5F">
              <w:rPr>
                <w:rFonts w:cstheme="minorHAnsi"/>
                <w:szCs w:val="24"/>
              </w:rPr>
              <w:t xml:space="preserve">ommunication </w:t>
            </w:r>
            <w:r w:rsidR="0091538B" w:rsidRPr="00804F5F">
              <w:rPr>
                <w:rFonts w:cstheme="minorHAnsi"/>
                <w:szCs w:val="24"/>
              </w:rPr>
              <w:t>(shared with SMT)</w:t>
            </w:r>
          </w:p>
          <w:p w:rsidR="009E3FC6" w:rsidRPr="00804F5F" w:rsidRDefault="009E3FC6" w:rsidP="009E3FC6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T</w:t>
            </w:r>
            <w:r w:rsidR="000F6585" w:rsidRPr="00804F5F">
              <w:rPr>
                <w:rFonts w:cstheme="minorHAnsi"/>
                <w:szCs w:val="24"/>
              </w:rPr>
              <w:t>imetabling issues</w:t>
            </w:r>
          </w:p>
          <w:p w:rsidR="00C91D33" w:rsidRPr="00804F5F" w:rsidRDefault="00C91D33" w:rsidP="009E3FC6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Good practices identified in previous year’s teaching observation (supplied by ADE)</w:t>
            </w:r>
          </w:p>
          <w:p w:rsidR="00536DA4" w:rsidRPr="00804F5F" w:rsidRDefault="00C50A74" w:rsidP="009E3FC6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Reporting panel/</w:t>
            </w:r>
            <w:r w:rsidR="00536DA4" w:rsidRPr="00804F5F">
              <w:rPr>
                <w:rFonts w:cstheme="minorHAnsi"/>
                <w:szCs w:val="24"/>
              </w:rPr>
              <w:t>CME-related items</w:t>
            </w:r>
          </w:p>
        </w:tc>
      </w:tr>
    </w:tbl>
    <w:p w:rsidR="00C018D6" w:rsidRPr="00804F5F" w:rsidRDefault="00C018D6" w:rsidP="00C018D6">
      <w:pPr>
        <w:spacing w:before="120"/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Meeting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136"/>
      </w:tblGrid>
      <w:tr w:rsidR="00A513ED" w:rsidRPr="00804F5F" w:rsidTr="004C6E39">
        <w:tc>
          <w:tcPr>
            <w:tcW w:w="1215" w:type="dxa"/>
          </w:tcPr>
          <w:p w:rsidR="00C018D6" w:rsidRPr="00804F5F" w:rsidRDefault="00C018D6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Date</w:t>
            </w:r>
          </w:p>
        </w:tc>
        <w:tc>
          <w:tcPr>
            <w:tcW w:w="8136" w:type="dxa"/>
          </w:tcPr>
          <w:p w:rsidR="00C018D6" w:rsidRPr="00804F5F" w:rsidRDefault="00C018D6" w:rsidP="00C018D6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October/November</w:t>
            </w:r>
          </w:p>
        </w:tc>
      </w:tr>
      <w:tr w:rsidR="00A513ED" w:rsidRPr="00804F5F" w:rsidTr="004C6E39">
        <w:tc>
          <w:tcPr>
            <w:tcW w:w="1215" w:type="dxa"/>
          </w:tcPr>
          <w:p w:rsidR="00C018D6" w:rsidRPr="00804F5F" w:rsidRDefault="00C018D6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Agenda</w:t>
            </w:r>
          </w:p>
        </w:tc>
        <w:tc>
          <w:tcPr>
            <w:tcW w:w="8136" w:type="dxa"/>
          </w:tcPr>
          <w:p w:rsidR="00585F88" w:rsidRPr="00804F5F" w:rsidRDefault="00585F88" w:rsidP="00585F88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Semester 1 and YL module changes</w:t>
            </w:r>
          </w:p>
          <w:p w:rsidR="00C018D6" w:rsidRPr="00804F5F" w:rsidRDefault="00C018D6" w:rsidP="00585F88">
            <w:pPr>
              <w:pStyle w:val="ListParagraph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 xml:space="preserve">NSS </w:t>
            </w:r>
            <w:r w:rsidR="005108D8" w:rsidRPr="00804F5F">
              <w:rPr>
                <w:rFonts w:cstheme="minorHAnsi"/>
                <w:szCs w:val="24"/>
              </w:rPr>
              <w:t>c</w:t>
            </w:r>
            <w:r w:rsidRPr="00804F5F">
              <w:rPr>
                <w:rFonts w:cstheme="minorHAnsi"/>
                <w:szCs w:val="24"/>
              </w:rPr>
              <w:t>ommunication</w:t>
            </w:r>
            <w:r w:rsidR="005108D8" w:rsidRPr="00804F5F">
              <w:rPr>
                <w:rFonts w:cstheme="minorHAnsi"/>
                <w:szCs w:val="24"/>
              </w:rPr>
              <w:t xml:space="preserve">: </w:t>
            </w:r>
            <w:r w:rsidRPr="00804F5F">
              <w:rPr>
                <w:rFonts w:cstheme="minorHAnsi"/>
                <w:szCs w:val="24"/>
              </w:rPr>
              <w:t>implementation</w:t>
            </w:r>
            <w:r w:rsidR="0091538B" w:rsidRPr="00804F5F">
              <w:rPr>
                <w:rFonts w:cstheme="minorHAnsi"/>
                <w:szCs w:val="24"/>
              </w:rPr>
              <w:t xml:space="preserve"> (shared with SMT)</w:t>
            </w:r>
          </w:p>
          <w:p w:rsidR="00585F88" w:rsidRPr="00804F5F" w:rsidRDefault="00585F88" w:rsidP="00585F88">
            <w:pPr>
              <w:pStyle w:val="ListParagraph"/>
              <w:numPr>
                <w:ilvl w:val="0"/>
                <w:numId w:val="38"/>
              </w:num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Recruitment and outreach activities e.g. open/applicant day rotas</w:t>
            </w:r>
          </w:p>
          <w:p w:rsidR="00C91D33" w:rsidRPr="00804F5F" w:rsidRDefault="00E53CC0" w:rsidP="00585F88">
            <w:pPr>
              <w:pStyle w:val="ListParagraph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Minor programme amendments for next academic year.</w:t>
            </w:r>
          </w:p>
          <w:p w:rsidR="00536DA4" w:rsidRPr="00804F5F" w:rsidRDefault="00C50A74" w:rsidP="00585F88">
            <w:pPr>
              <w:pStyle w:val="ListParagraph"/>
              <w:numPr>
                <w:ilvl w:val="0"/>
                <w:numId w:val="38"/>
              </w:numPr>
              <w:spacing w:before="120" w:after="12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</w:t>
            </w:r>
            <w:r w:rsidR="00804F5F" w:rsidRPr="00804F5F">
              <w:rPr>
                <w:rFonts w:cstheme="minorHAnsi"/>
                <w:szCs w:val="24"/>
              </w:rPr>
              <w:t>porting panel/CME-related items</w:t>
            </w:r>
          </w:p>
        </w:tc>
      </w:tr>
    </w:tbl>
    <w:p w:rsidR="005108D8" w:rsidRPr="00804F5F" w:rsidRDefault="005108D8" w:rsidP="005108D8">
      <w:pPr>
        <w:spacing w:before="120"/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Meeting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136"/>
      </w:tblGrid>
      <w:tr w:rsidR="00A513ED" w:rsidRPr="00804F5F" w:rsidTr="004C6E39">
        <w:tc>
          <w:tcPr>
            <w:tcW w:w="1215" w:type="dxa"/>
          </w:tcPr>
          <w:p w:rsidR="005108D8" w:rsidRPr="00804F5F" w:rsidRDefault="005108D8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Date</w:t>
            </w:r>
          </w:p>
        </w:tc>
        <w:tc>
          <w:tcPr>
            <w:tcW w:w="8136" w:type="dxa"/>
          </w:tcPr>
          <w:p w:rsidR="005108D8" w:rsidRPr="00804F5F" w:rsidRDefault="005108D8" w:rsidP="00F779F0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February</w:t>
            </w:r>
            <w:r w:rsidR="00823382" w:rsidRPr="00804F5F">
              <w:rPr>
                <w:rFonts w:cstheme="minorHAnsi"/>
                <w:szCs w:val="24"/>
              </w:rPr>
              <w:t xml:space="preserve"> (before Fri Week 24)</w:t>
            </w:r>
          </w:p>
        </w:tc>
      </w:tr>
      <w:tr w:rsidR="00A513ED" w:rsidRPr="00804F5F" w:rsidTr="004C6E39">
        <w:tc>
          <w:tcPr>
            <w:tcW w:w="1215" w:type="dxa"/>
          </w:tcPr>
          <w:p w:rsidR="005108D8" w:rsidRPr="00804F5F" w:rsidRDefault="005108D8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Agenda</w:t>
            </w:r>
          </w:p>
        </w:tc>
        <w:tc>
          <w:tcPr>
            <w:tcW w:w="8136" w:type="dxa"/>
          </w:tcPr>
          <w:p w:rsidR="00C50A74" w:rsidRPr="00804F5F" w:rsidRDefault="00C50A74" w:rsidP="00536DA4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67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Consideration of Semester 1 exam performance</w:t>
            </w:r>
          </w:p>
          <w:p w:rsidR="00C50A74" w:rsidRPr="00804F5F" w:rsidRDefault="00C50A74" w:rsidP="00536DA4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67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Report on Semester 1 three-week turnaround. Actions arising shared (shared with SMT).</w:t>
            </w:r>
          </w:p>
          <w:p w:rsidR="005108D8" w:rsidRPr="00804F5F" w:rsidRDefault="00C50A74" w:rsidP="00C50A74">
            <w:pPr>
              <w:pStyle w:val="ListParagraph"/>
              <w:numPr>
                <w:ilvl w:val="0"/>
                <w:numId w:val="42"/>
              </w:numPr>
              <w:spacing w:before="120" w:after="120"/>
              <w:ind w:left="367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</w:t>
            </w:r>
            <w:r w:rsidR="00804F5F" w:rsidRPr="00804F5F">
              <w:rPr>
                <w:rFonts w:cstheme="minorHAnsi"/>
                <w:szCs w:val="24"/>
              </w:rPr>
              <w:t>porting panel/CME-related items</w:t>
            </w:r>
          </w:p>
        </w:tc>
      </w:tr>
    </w:tbl>
    <w:p w:rsidR="005108D8" w:rsidRPr="00804F5F" w:rsidRDefault="005108D8" w:rsidP="005108D8">
      <w:pPr>
        <w:spacing w:before="120"/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lastRenderedPageBreak/>
        <w:t>Meeting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136"/>
      </w:tblGrid>
      <w:tr w:rsidR="00A513ED" w:rsidRPr="00804F5F" w:rsidTr="004C6E39">
        <w:tc>
          <w:tcPr>
            <w:tcW w:w="1215" w:type="dxa"/>
          </w:tcPr>
          <w:p w:rsidR="005108D8" w:rsidRPr="00804F5F" w:rsidRDefault="005108D8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Date</w:t>
            </w:r>
          </w:p>
        </w:tc>
        <w:tc>
          <w:tcPr>
            <w:tcW w:w="8136" w:type="dxa"/>
          </w:tcPr>
          <w:p w:rsidR="005108D8" w:rsidRPr="00804F5F" w:rsidRDefault="005108D8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March</w:t>
            </w:r>
          </w:p>
        </w:tc>
      </w:tr>
      <w:tr w:rsidR="005108D8" w:rsidRPr="00804F5F" w:rsidTr="004C6E39">
        <w:tc>
          <w:tcPr>
            <w:tcW w:w="1215" w:type="dxa"/>
          </w:tcPr>
          <w:p w:rsidR="005108D8" w:rsidRPr="00804F5F" w:rsidRDefault="005108D8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Agenda</w:t>
            </w:r>
          </w:p>
        </w:tc>
        <w:tc>
          <w:tcPr>
            <w:tcW w:w="8136" w:type="dxa"/>
          </w:tcPr>
          <w:p w:rsidR="00585F88" w:rsidRPr="00804F5F" w:rsidRDefault="00585F88" w:rsidP="00585F88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7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Semester 2 module changes</w:t>
            </w:r>
          </w:p>
          <w:p w:rsidR="003732BA" w:rsidRPr="00804F5F" w:rsidRDefault="00C50A74" w:rsidP="00585F88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7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</w:t>
            </w:r>
            <w:r w:rsidR="00804F5F" w:rsidRPr="00804F5F">
              <w:rPr>
                <w:rFonts w:cstheme="minorHAnsi"/>
                <w:szCs w:val="24"/>
              </w:rPr>
              <w:t>porting panel/CME-related items</w:t>
            </w:r>
          </w:p>
        </w:tc>
      </w:tr>
    </w:tbl>
    <w:p w:rsidR="00B00932" w:rsidRPr="00804F5F" w:rsidRDefault="00B00932" w:rsidP="008477E7">
      <w:pPr>
        <w:spacing w:after="120"/>
        <w:rPr>
          <w:rFonts w:cstheme="minorHAnsi"/>
          <w:szCs w:val="24"/>
        </w:rPr>
      </w:pPr>
    </w:p>
    <w:p w:rsidR="006A4F00" w:rsidRPr="00804F5F" w:rsidRDefault="006A4F00" w:rsidP="006A4F00">
      <w:pPr>
        <w:spacing w:before="120"/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Meeting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136"/>
      </w:tblGrid>
      <w:tr w:rsidR="00A513ED" w:rsidRPr="00804F5F" w:rsidTr="004C6E39">
        <w:tc>
          <w:tcPr>
            <w:tcW w:w="1215" w:type="dxa"/>
          </w:tcPr>
          <w:p w:rsidR="006A4F00" w:rsidRPr="00804F5F" w:rsidRDefault="006A4F00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Date</w:t>
            </w:r>
          </w:p>
        </w:tc>
        <w:tc>
          <w:tcPr>
            <w:tcW w:w="8136" w:type="dxa"/>
          </w:tcPr>
          <w:p w:rsidR="006A4F00" w:rsidRPr="00804F5F" w:rsidRDefault="00932D8D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May/June</w:t>
            </w:r>
          </w:p>
        </w:tc>
      </w:tr>
      <w:tr w:rsidR="00A513ED" w:rsidRPr="00804F5F" w:rsidTr="004C6E39">
        <w:tc>
          <w:tcPr>
            <w:tcW w:w="1215" w:type="dxa"/>
          </w:tcPr>
          <w:p w:rsidR="006A4F00" w:rsidRPr="00804F5F" w:rsidRDefault="006A4F00" w:rsidP="00B65227">
            <w:pPr>
              <w:spacing w:before="120" w:after="12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Agenda</w:t>
            </w:r>
          </w:p>
        </w:tc>
        <w:tc>
          <w:tcPr>
            <w:tcW w:w="8136" w:type="dxa"/>
          </w:tcPr>
          <w:p w:rsidR="003732BA" w:rsidRPr="00804F5F" w:rsidRDefault="003732BA" w:rsidP="000135DC">
            <w:pPr>
              <w:pStyle w:val="ListParagraph"/>
              <w:numPr>
                <w:ilvl w:val="0"/>
                <w:numId w:val="41"/>
              </w:numPr>
              <w:spacing w:before="120" w:after="12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 xml:space="preserve">Planned </w:t>
            </w:r>
            <w:r w:rsidR="00E53CC0" w:rsidRPr="00804F5F">
              <w:rPr>
                <w:rFonts w:cstheme="minorHAnsi"/>
                <w:szCs w:val="24"/>
              </w:rPr>
              <w:t xml:space="preserve">major </w:t>
            </w:r>
            <w:r w:rsidR="000F6585" w:rsidRPr="00804F5F">
              <w:rPr>
                <w:rFonts w:cstheme="minorHAnsi"/>
                <w:szCs w:val="24"/>
              </w:rPr>
              <w:t xml:space="preserve">programme </w:t>
            </w:r>
            <w:r w:rsidRPr="00804F5F">
              <w:rPr>
                <w:rFonts w:cstheme="minorHAnsi"/>
                <w:szCs w:val="24"/>
              </w:rPr>
              <w:t>changes</w:t>
            </w:r>
            <w:r w:rsidR="00E53CC0" w:rsidRPr="00804F5F">
              <w:rPr>
                <w:rFonts w:cstheme="minorHAnsi"/>
                <w:szCs w:val="24"/>
              </w:rPr>
              <w:t xml:space="preserve"> for September of the next calendar year</w:t>
            </w:r>
            <w:r w:rsidRPr="00804F5F">
              <w:rPr>
                <w:rFonts w:cstheme="minorHAnsi"/>
                <w:szCs w:val="24"/>
              </w:rPr>
              <w:t xml:space="preserve"> (shared with SMT)</w:t>
            </w:r>
          </w:p>
          <w:p w:rsidR="0055781A" w:rsidRPr="00804F5F" w:rsidRDefault="00C50A74" w:rsidP="00F779F0">
            <w:pPr>
              <w:pStyle w:val="ListParagraph"/>
              <w:numPr>
                <w:ilvl w:val="0"/>
                <w:numId w:val="41"/>
              </w:numPr>
              <w:spacing w:before="120" w:after="120"/>
              <w:contextualSpacing w:val="0"/>
              <w:rPr>
                <w:rFonts w:cstheme="minorHAnsi"/>
                <w:szCs w:val="24"/>
              </w:rPr>
            </w:pPr>
            <w:r w:rsidRPr="00804F5F">
              <w:rPr>
                <w:rFonts w:cstheme="minorHAnsi"/>
                <w:szCs w:val="24"/>
              </w:rPr>
              <w:t>Re</w:t>
            </w:r>
            <w:r w:rsidR="00804F5F" w:rsidRPr="00804F5F">
              <w:rPr>
                <w:rFonts w:cstheme="minorHAnsi"/>
                <w:szCs w:val="24"/>
              </w:rPr>
              <w:t>porting panel/CME-related items</w:t>
            </w:r>
          </w:p>
        </w:tc>
      </w:tr>
    </w:tbl>
    <w:p w:rsidR="00E53CC0" w:rsidRPr="00804F5F" w:rsidRDefault="00E53CC0" w:rsidP="00E53CC0">
      <w:pPr>
        <w:spacing w:before="120" w:after="120"/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ab/>
      </w:r>
    </w:p>
    <w:p w:rsidR="00C50A74" w:rsidRPr="00804F5F" w:rsidRDefault="00C50A74" w:rsidP="00C50A74">
      <w:pPr>
        <w:rPr>
          <w:rFonts w:cstheme="minorHAnsi"/>
          <w:b/>
          <w:szCs w:val="24"/>
        </w:rPr>
      </w:pPr>
      <w:bookmarkStart w:id="0" w:name="_GoBack"/>
      <w:bookmarkEnd w:id="0"/>
      <w:r w:rsidRPr="00804F5F">
        <w:rPr>
          <w:rFonts w:cstheme="minorHAnsi"/>
          <w:b/>
          <w:szCs w:val="24"/>
        </w:rPr>
        <w:t>Reporting panels</w:t>
      </w:r>
    </w:p>
    <w:p w:rsidR="00C50A74" w:rsidRPr="00804F5F" w:rsidRDefault="00C50A74" w:rsidP="00C50A74">
      <w:p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Meetings will discuss items advanced from Boards of Study, pre-Boards of Study/Staff-student consultative committees and other staff-student meetings e.g. scheduled drop-ins. Some practical disciplines operate fora attended by technicians and academics; programme meetings might consider items raised by these for consideration also.</w:t>
      </w:r>
    </w:p>
    <w:p w:rsidR="00C50A74" w:rsidRPr="00804F5F" w:rsidRDefault="00C50A74" w:rsidP="00C50A74">
      <w:pPr>
        <w:rPr>
          <w:rFonts w:cstheme="minorHAnsi"/>
          <w:b/>
          <w:szCs w:val="24"/>
        </w:rPr>
      </w:pPr>
      <w:r w:rsidRPr="00804F5F">
        <w:rPr>
          <w:rFonts w:cstheme="minorHAnsi"/>
          <w:b/>
          <w:szCs w:val="24"/>
        </w:rPr>
        <w:t>CME-related items</w:t>
      </w:r>
    </w:p>
    <w:p w:rsidR="00A513ED" w:rsidRPr="00804F5F" w:rsidRDefault="00C50A74" w:rsidP="00C50A74">
      <w:p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The current CME census points; Oct/Nov, Feb/Mar and Jun/Jul, will inf</w:t>
      </w:r>
      <w:r w:rsidR="00585F88" w:rsidRPr="00804F5F">
        <w:rPr>
          <w:rFonts w:cstheme="minorHAnsi"/>
          <w:szCs w:val="24"/>
        </w:rPr>
        <w:t>orm the focus of discussions</w:t>
      </w:r>
      <w:r w:rsidR="00A513ED" w:rsidRPr="00804F5F">
        <w:rPr>
          <w:rFonts w:cstheme="minorHAnsi"/>
          <w:szCs w:val="24"/>
        </w:rPr>
        <w:t>.</w:t>
      </w:r>
    </w:p>
    <w:p w:rsidR="00585F88" w:rsidRPr="00804F5F" w:rsidRDefault="00585F88" w:rsidP="00585F88">
      <w:pPr>
        <w:pStyle w:val="ListParagraph"/>
        <w:numPr>
          <w:ilvl w:val="0"/>
          <w:numId w:val="45"/>
        </w:num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External survey response rates and outcomes (NSS, UKES, PTES, Graduate Outcomes e.g. DELHE)</w:t>
      </w:r>
    </w:p>
    <w:p w:rsidR="00585F88" w:rsidRPr="00804F5F" w:rsidRDefault="00585F88" w:rsidP="00585F88">
      <w:pPr>
        <w:pStyle w:val="ListParagraph"/>
        <w:numPr>
          <w:ilvl w:val="0"/>
          <w:numId w:val="45"/>
        </w:num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Module performance and evaluations</w:t>
      </w:r>
    </w:p>
    <w:p w:rsidR="00585F88" w:rsidRPr="00804F5F" w:rsidRDefault="00585F88" w:rsidP="00585F88">
      <w:pPr>
        <w:pStyle w:val="ListParagraph"/>
        <w:numPr>
          <w:ilvl w:val="0"/>
          <w:numId w:val="45"/>
        </w:num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Withdrawals and retention</w:t>
      </w:r>
    </w:p>
    <w:p w:rsidR="00585F88" w:rsidRPr="00804F5F" w:rsidRDefault="00585F88" w:rsidP="00585F88">
      <w:pPr>
        <w:pStyle w:val="ListParagraph"/>
        <w:numPr>
          <w:ilvl w:val="0"/>
          <w:numId w:val="45"/>
        </w:numPr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>% Good honours</w:t>
      </w:r>
    </w:p>
    <w:p w:rsidR="00585F88" w:rsidRPr="00804F5F" w:rsidRDefault="00585F88" w:rsidP="00585F88">
      <w:pPr>
        <w:pStyle w:val="ListParagraph"/>
        <w:rPr>
          <w:rFonts w:cstheme="minorHAnsi"/>
          <w:szCs w:val="24"/>
        </w:rPr>
      </w:pPr>
    </w:p>
    <w:p w:rsidR="00C50A74" w:rsidRPr="00804F5F" w:rsidRDefault="00C50A74" w:rsidP="00E53CC0">
      <w:pPr>
        <w:spacing w:before="120" w:after="120"/>
        <w:jc w:val="right"/>
        <w:rPr>
          <w:rFonts w:cstheme="minorHAnsi"/>
          <w:szCs w:val="24"/>
        </w:rPr>
      </w:pPr>
    </w:p>
    <w:p w:rsidR="00E53CC0" w:rsidRPr="00804F5F" w:rsidRDefault="00E53CC0" w:rsidP="00E53CC0">
      <w:pPr>
        <w:spacing w:before="120" w:after="120"/>
        <w:jc w:val="right"/>
        <w:rPr>
          <w:rFonts w:cstheme="minorHAnsi"/>
          <w:szCs w:val="24"/>
        </w:rPr>
      </w:pPr>
      <w:r w:rsidRPr="00804F5F">
        <w:rPr>
          <w:rFonts w:cstheme="minorHAnsi"/>
          <w:szCs w:val="24"/>
        </w:rPr>
        <w:t xml:space="preserve">Phil Denton </w:t>
      </w:r>
      <w:r w:rsidR="00804F5F" w:rsidRPr="00804F5F">
        <w:rPr>
          <w:rFonts w:cstheme="minorHAnsi"/>
          <w:szCs w:val="24"/>
        </w:rPr>
        <w:t>2</w:t>
      </w:r>
      <w:r w:rsidR="004A5371">
        <w:rPr>
          <w:rFonts w:cstheme="minorHAnsi"/>
          <w:szCs w:val="24"/>
        </w:rPr>
        <w:t>5</w:t>
      </w:r>
      <w:r w:rsidRPr="00804F5F">
        <w:rPr>
          <w:rFonts w:cstheme="minorHAnsi"/>
          <w:szCs w:val="24"/>
        </w:rPr>
        <w:t>/</w:t>
      </w:r>
      <w:r w:rsidR="00804F5F" w:rsidRPr="00804F5F">
        <w:rPr>
          <w:rFonts w:cstheme="minorHAnsi"/>
          <w:szCs w:val="24"/>
        </w:rPr>
        <w:t>6</w:t>
      </w:r>
      <w:r w:rsidRPr="00804F5F">
        <w:rPr>
          <w:rFonts w:cstheme="minorHAnsi"/>
          <w:szCs w:val="24"/>
        </w:rPr>
        <w:t>/1</w:t>
      </w:r>
      <w:r w:rsidR="00C50A74" w:rsidRPr="00804F5F">
        <w:rPr>
          <w:rFonts w:cstheme="minorHAnsi"/>
          <w:szCs w:val="24"/>
        </w:rPr>
        <w:t>9</w:t>
      </w:r>
    </w:p>
    <w:p w:rsidR="006A4F00" w:rsidRPr="00804F5F" w:rsidRDefault="006A4F00" w:rsidP="008477E7">
      <w:pPr>
        <w:rPr>
          <w:rFonts w:cstheme="minorHAnsi"/>
          <w:szCs w:val="24"/>
        </w:rPr>
      </w:pPr>
    </w:p>
    <w:sectPr w:rsidR="006A4F00" w:rsidRPr="00804F5F" w:rsidSect="004C6E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C" w:rsidRDefault="00BD40CC" w:rsidP="007776A9">
      <w:pPr>
        <w:spacing w:after="0" w:line="240" w:lineRule="auto"/>
      </w:pPr>
      <w:r>
        <w:separator/>
      </w:r>
    </w:p>
  </w:endnote>
  <w:endnote w:type="continuationSeparator" w:id="0">
    <w:p w:rsidR="00BD40CC" w:rsidRDefault="00BD40CC" w:rsidP="0077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C" w:rsidRDefault="00BD40CC" w:rsidP="007776A9">
      <w:pPr>
        <w:spacing w:after="0" w:line="240" w:lineRule="auto"/>
      </w:pPr>
      <w:r>
        <w:separator/>
      </w:r>
    </w:p>
  </w:footnote>
  <w:footnote w:type="continuationSeparator" w:id="0">
    <w:p w:rsidR="00BD40CC" w:rsidRDefault="00BD40CC" w:rsidP="00777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81A"/>
    <w:multiLevelType w:val="hybridMultilevel"/>
    <w:tmpl w:val="F0A21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26B73"/>
    <w:multiLevelType w:val="hybridMultilevel"/>
    <w:tmpl w:val="E4EEFA00"/>
    <w:lvl w:ilvl="0" w:tplc="C874B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68A0"/>
    <w:multiLevelType w:val="hybridMultilevel"/>
    <w:tmpl w:val="34226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41C1"/>
    <w:multiLevelType w:val="hybridMultilevel"/>
    <w:tmpl w:val="B942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63E6"/>
    <w:multiLevelType w:val="hybridMultilevel"/>
    <w:tmpl w:val="792C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5894"/>
    <w:multiLevelType w:val="hybridMultilevel"/>
    <w:tmpl w:val="CC6E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356"/>
    <w:multiLevelType w:val="hybridMultilevel"/>
    <w:tmpl w:val="10EC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68BC"/>
    <w:multiLevelType w:val="hybridMultilevel"/>
    <w:tmpl w:val="A990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87C51"/>
    <w:multiLevelType w:val="hybridMultilevel"/>
    <w:tmpl w:val="D512C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44F15"/>
    <w:multiLevelType w:val="hybridMultilevel"/>
    <w:tmpl w:val="54AE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33E02"/>
    <w:multiLevelType w:val="hybridMultilevel"/>
    <w:tmpl w:val="10DC4E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545F9"/>
    <w:multiLevelType w:val="hybridMultilevel"/>
    <w:tmpl w:val="3CBE9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22D25"/>
    <w:multiLevelType w:val="hybridMultilevel"/>
    <w:tmpl w:val="235023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86FA4"/>
    <w:multiLevelType w:val="hybridMultilevel"/>
    <w:tmpl w:val="7EF62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61A9E"/>
    <w:multiLevelType w:val="hybridMultilevel"/>
    <w:tmpl w:val="9650EC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326B9"/>
    <w:multiLevelType w:val="hybridMultilevel"/>
    <w:tmpl w:val="76E84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8030C"/>
    <w:multiLevelType w:val="hybridMultilevel"/>
    <w:tmpl w:val="A770FAE6"/>
    <w:lvl w:ilvl="0" w:tplc="2A5A2F5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553F0"/>
    <w:multiLevelType w:val="hybridMultilevel"/>
    <w:tmpl w:val="B14AF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C06A4C"/>
    <w:multiLevelType w:val="hybridMultilevel"/>
    <w:tmpl w:val="56C6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0507"/>
    <w:multiLevelType w:val="hybridMultilevel"/>
    <w:tmpl w:val="07E64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7C35"/>
    <w:multiLevelType w:val="hybridMultilevel"/>
    <w:tmpl w:val="CBB0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5E29"/>
    <w:multiLevelType w:val="hybridMultilevel"/>
    <w:tmpl w:val="AF08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01D80"/>
    <w:multiLevelType w:val="hybridMultilevel"/>
    <w:tmpl w:val="15C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72F8F"/>
    <w:multiLevelType w:val="hybridMultilevel"/>
    <w:tmpl w:val="7510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702D0"/>
    <w:multiLevelType w:val="hybridMultilevel"/>
    <w:tmpl w:val="D512C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472B"/>
    <w:multiLevelType w:val="hybridMultilevel"/>
    <w:tmpl w:val="E6529A48"/>
    <w:lvl w:ilvl="0" w:tplc="2A5A2F5C">
      <w:start w:val="1"/>
      <w:numFmt w:val="lowerRoman"/>
      <w:lvlText w:val="%1)"/>
      <w:lvlJc w:val="left"/>
      <w:pPr>
        <w:ind w:left="3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46" w:hanging="360"/>
      </w:pPr>
    </w:lvl>
    <w:lvl w:ilvl="2" w:tplc="0809001B" w:tentative="1">
      <w:start w:val="1"/>
      <w:numFmt w:val="lowerRoman"/>
      <w:lvlText w:val="%3."/>
      <w:lvlJc w:val="right"/>
      <w:pPr>
        <w:ind w:left="1766" w:hanging="180"/>
      </w:pPr>
    </w:lvl>
    <w:lvl w:ilvl="3" w:tplc="0809000F" w:tentative="1">
      <w:start w:val="1"/>
      <w:numFmt w:val="decimal"/>
      <w:lvlText w:val="%4."/>
      <w:lvlJc w:val="left"/>
      <w:pPr>
        <w:ind w:left="2486" w:hanging="360"/>
      </w:pPr>
    </w:lvl>
    <w:lvl w:ilvl="4" w:tplc="08090019" w:tentative="1">
      <w:start w:val="1"/>
      <w:numFmt w:val="lowerLetter"/>
      <w:lvlText w:val="%5."/>
      <w:lvlJc w:val="left"/>
      <w:pPr>
        <w:ind w:left="3206" w:hanging="360"/>
      </w:pPr>
    </w:lvl>
    <w:lvl w:ilvl="5" w:tplc="0809001B" w:tentative="1">
      <w:start w:val="1"/>
      <w:numFmt w:val="lowerRoman"/>
      <w:lvlText w:val="%6."/>
      <w:lvlJc w:val="right"/>
      <w:pPr>
        <w:ind w:left="3926" w:hanging="180"/>
      </w:pPr>
    </w:lvl>
    <w:lvl w:ilvl="6" w:tplc="0809000F" w:tentative="1">
      <w:start w:val="1"/>
      <w:numFmt w:val="decimal"/>
      <w:lvlText w:val="%7."/>
      <w:lvlJc w:val="left"/>
      <w:pPr>
        <w:ind w:left="4646" w:hanging="360"/>
      </w:pPr>
    </w:lvl>
    <w:lvl w:ilvl="7" w:tplc="08090019" w:tentative="1">
      <w:start w:val="1"/>
      <w:numFmt w:val="lowerLetter"/>
      <w:lvlText w:val="%8."/>
      <w:lvlJc w:val="left"/>
      <w:pPr>
        <w:ind w:left="5366" w:hanging="360"/>
      </w:pPr>
    </w:lvl>
    <w:lvl w:ilvl="8" w:tplc="080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6" w15:restartNumberingAfterBreak="0">
    <w:nsid w:val="5DF422FF"/>
    <w:multiLevelType w:val="hybridMultilevel"/>
    <w:tmpl w:val="89B200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CE2256"/>
    <w:multiLevelType w:val="hybridMultilevel"/>
    <w:tmpl w:val="EE94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26F8F"/>
    <w:multiLevelType w:val="hybridMultilevel"/>
    <w:tmpl w:val="177C4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2B34FE"/>
    <w:multiLevelType w:val="hybridMultilevel"/>
    <w:tmpl w:val="43660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23D2"/>
    <w:multiLevelType w:val="hybridMultilevel"/>
    <w:tmpl w:val="C436F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C121F"/>
    <w:multiLevelType w:val="hybridMultilevel"/>
    <w:tmpl w:val="3716A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90C4D"/>
    <w:multiLevelType w:val="hybridMultilevel"/>
    <w:tmpl w:val="097AD9AA"/>
    <w:lvl w:ilvl="0" w:tplc="07CC7F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B3536"/>
    <w:multiLevelType w:val="hybridMultilevel"/>
    <w:tmpl w:val="44C8005A"/>
    <w:lvl w:ilvl="0" w:tplc="C874B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97429"/>
    <w:multiLevelType w:val="hybridMultilevel"/>
    <w:tmpl w:val="61CE8E2E"/>
    <w:lvl w:ilvl="0" w:tplc="03F29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E3BAF"/>
    <w:multiLevelType w:val="hybridMultilevel"/>
    <w:tmpl w:val="CABC44DE"/>
    <w:lvl w:ilvl="0" w:tplc="2A5A2F5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06319"/>
    <w:multiLevelType w:val="hybridMultilevel"/>
    <w:tmpl w:val="14F0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00800"/>
    <w:multiLevelType w:val="hybridMultilevel"/>
    <w:tmpl w:val="73DC23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3604B3"/>
    <w:multiLevelType w:val="hybridMultilevel"/>
    <w:tmpl w:val="F77E3972"/>
    <w:lvl w:ilvl="0" w:tplc="171E5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D1B14"/>
    <w:multiLevelType w:val="hybridMultilevel"/>
    <w:tmpl w:val="1952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D7CF8"/>
    <w:multiLevelType w:val="hybridMultilevel"/>
    <w:tmpl w:val="FA5C28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13BE4"/>
    <w:multiLevelType w:val="hybridMultilevel"/>
    <w:tmpl w:val="AB5A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3654B"/>
    <w:multiLevelType w:val="hybridMultilevel"/>
    <w:tmpl w:val="995E4C02"/>
    <w:lvl w:ilvl="0" w:tplc="171E5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30"/>
  </w:num>
  <w:num w:numId="8">
    <w:abstractNumId w:val="5"/>
  </w:num>
  <w:num w:numId="9">
    <w:abstractNumId w:val="7"/>
  </w:num>
  <w:num w:numId="10">
    <w:abstractNumId w:val="22"/>
  </w:num>
  <w:num w:numId="11">
    <w:abstractNumId w:val="29"/>
  </w:num>
  <w:num w:numId="12">
    <w:abstractNumId w:val="21"/>
  </w:num>
  <w:num w:numId="13">
    <w:abstractNumId w:val="31"/>
  </w:num>
  <w:num w:numId="14">
    <w:abstractNumId w:val="6"/>
  </w:num>
  <w:num w:numId="15">
    <w:abstractNumId w:val="36"/>
  </w:num>
  <w:num w:numId="16">
    <w:abstractNumId w:val="9"/>
  </w:num>
  <w:num w:numId="17">
    <w:abstractNumId w:val="20"/>
  </w:num>
  <w:num w:numId="18">
    <w:abstractNumId w:val="13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2"/>
  </w:num>
  <w:num w:numId="28">
    <w:abstractNumId w:val="27"/>
  </w:num>
  <w:num w:numId="29">
    <w:abstractNumId w:val="32"/>
  </w:num>
  <w:num w:numId="30">
    <w:abstractNumId w:val="18"/>
  </w:num>
  <w:num w:numId="31">
    <w:abstractNumId w:val="11"/>
  </w:num>
  <w:num w:numId="32">
    <w:abstractNumId w:val="15"/>
  </w:num>
  <w:num w:numId="33">
    <w:abstractNumId w:val="34"/>
  </w:num>
  <w:num w:numId="34">
    <w:abstractNumId w:val="37"/>
  </w:num>
  <w:num w:numId="35">
    <w:abstractNumId w:val="26"/>
  </w:num>
  <w:num w:numId="36">
    <w:abstractNumId w:val="17"/>
  </w:num>
  <w:num w:numId="37">
    <w:abstractNumId w:val="28"/>
  </w:num>
  <w:num w:numId="38">
    <w:abstractNumId w:val="10"/>
  </w:num>
  <w:num w:numId="39">
    <w:abstractNumId w:val="38"/>
  </w:num>
  <w:num w:numId="40">
    <w:abstractNumId w:val="0"/>
  </w:num>
  <w:num w:numId="41">
    <w:abstractNumId w:val="42"/>
  </w:num>
  <w:num w:numId="42">
    <w:abstractNumId w:val="24"/>
  </w:num>
  <w:num w:numId="43">
    <w:abstractNumId w:val="8"/>
  </w:num>
  <w:num w:numId="44">
    <w:abstractNumId w:val="1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B2"/>
    <w:rsid w:val="000068D7"/>
    <w:rsid w:val="00017FE9"/>
    <w:rsid w:val="000622BD"/>
    <w:rsid w:val="0006556F"/>
    <w:rsid w:val="000E03CB"/>
    <w:rsid w:val="000F3866"/>
    <w:rsid w:val="000F6585"/>
    <w:rsid w:val="00137B74"/>
    <w:rsid w:val="001827C7"/>
    <w:rsid w:val="001855CE"/>
    <w:rsid w:val="00190EE6"/>
    <w:rsid w:val="001920C7"/>
    <w:rsid w:val="001B2D1D"/>
    <w:rsid w:val="001D1800"/>
    <w:rsid w:val="001F2A69"/>
    <w:rsid w:val="00212C2D"/>
    <w:rsid w:val="00231259"/>
    <w:rsid w:val="00232B23"/>
    <w:rsid w:val="002A17A4"/>
    <w:rsid w:val="00314ED2"/>
    <w:rsid w:val="003340C4"/>
    <w:rsid w:val="003732BA"/>
    <w:rsid w:val="00384185"/>
    <w:rsid w:val="003E152A"/>
    <w:rsid w:val="00410793"/>
    <w:rsid w:val="004134E9"/>
    <w:rsid w:val="0044602D"/>
    <w:rsid w:val="00463D44"/>
    <w:rsid w:val="004945AE"/>
    <w:rsid w:val="004A5371"/>
    <w:rsid w:val="004C6E39"/>
    <w:rsid w:val="004F447E"/>
    <w:rsid w:val="005108D8"/>
    <w:rsid w:val="00510A64"/>
    <w:rsid w:val="00525B93"/>
    <w:rsid w:val="00536DA4"/>
    <w:rsid w:val="0054768C"/>
    <w:rsid w:val="0055781A"/>
    <w:rsid w:val="005750CC"/>
    <w:rsid w:val="005857AB"/>
    <w:rsid w:val="00585F88"/>
    <w:rsid w:val="00593531"/>
    <w:rsid w:val="005B2FA7"/>
    <w:rsid w:val="005D60A1"/>
    <w:rsid w:val="005D7B45"/>
    <w:rsid w:val="005F1AA1"/>
    <w:rsid w:val="00605154"/>
    <w:rsid w:val="00612040"/>
    <w:rsid w:val="00624F72"/>
    <w:rsid w:val="00676F99"/>
    <w:rsid w:val="006A4F00"/>
    <w:rsid w:val="006C4637"/>
    <w:rsid w:val="006E3A9D"/>
    <w:rsid w:val="007073F7"/>
    <w:rsid w:val="00716B8E"/>
    <w:rsid w:val="00742BE9"/>
    <w:rsid w:val="00744A89"/>
    <w:rsid w:val="00770454"/>
    <w:rsid w:val="007776A9"/>
    <w:rsid w:val="007B5507"/>
    <w:rsid w:val="00804F5F"/>
    <w:rsid w:val="00823382"/>
    <w:rsid w:val="008477E7"/>
    <w:rsid w:val="008639A7"/>
    <w:rsid w:val="008841EA"/>
    <w:rsid w:val="00890B8A"/>
    <w:rsid w:val="008A6391"/>
    <w:rsid w:val="008B296F"/>
    <w:rsid w:val="009078D5"/>
    <w:rsid w:val="0091538B"/>
    <w:rsid w:val="00932D8D"/>
    <w:rsid w:val="00937DFE"/>
    <w:rsid w:val="00973F95"/>
    <w:rsid w:val="00987783"/>
    <w:rsid w:val="00987D5F"/>
    <w:rsid w:val="009E3FC6"/>
    <w:rsid w:val="009F3B5E"/>
    <w:rsid w:val="00A0292B"/>
    <w:rsid w:val="00A15CA9"/>
    <w:rsid w:val="00A35C92"/>
    <w:rsid w:val="00A513ED"/>
    <w:rsid w:val="00A5292D"/>
    <w:rsid w:val="00A71A72"/>
    <w:rsid w:val="00AD20B2"/>
    <w:rsid w:val="00B00932"/>
    <w:rsid w:val="00B27C8C"/>
    <w:rsid w:val="00B36E52"/>
    <w:rsid w:val="00B70B71"/>
    <w:rsid w:val="00BA7B63"/>
    <w:rsid w:val="00BB044A"/>
    <w:rsid w:val="00BC3C58"/>
    <w:rsid w:val="00BD40CC"/>
    <w:rsid w:val="00C018D6"/>
    <w:rsid w:val="00C50A74"/>
    <w:rsid w:val="00C91D33"/>
    <w:rsid w:val="00D4543D"/>
    <w:rsid w:val="00D50FFF"/>
    <w:rsid w:val="00D51FCB"/>
    <w:rsid w:val="00D52E51"/>
    <w:rsid w:val="00D86A98"/>
    <w:rsid w:val="00E017D2"/>
    <w:rsid w:val="00E07014"/>
    <w:rsid w:val="00E53CC0"/>
    <w:rsid w:val="00E578AF"/>
    <w:rsid w:val="00E63CAA"/>
    <w:rsid w:val="00ED1A7A"/>
    <w:rsid w:val="00EE66B2"/>
    <w:rsid w:val="00EF01D0"/>
    <w:rsid w:val="00F21A9A"/>
    <w:rsid w:val="00F779F0"/>
    <w:rsid w:val="00F80F1D"/>
    <w:rsid w:val="00FB3CB5"/>
    <w:rsid w:val="00FC1EFC"/>
    <w:rsid w:val="00FC4C79"/>
    <w:rsid w:val="00FE0C1B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5CCF87"/>
  <w15:docId w15:val="{8C1098F1-1691-49DE-8BD3-520AB964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1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7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6A9"/>
  </w:style>
  <w:style w:type="paragraph" w:styleId="Footer">
    <w:name w:val="footer"/>
    <w:basedOn w:val="Normal"/>
    <w:link w:val="FooterChar"/>
    <w:uiPriority w:val="99"/>
    <w:unhideWhenUsed/>
    <w:rsid w:val="00777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6A9"/>
  </w:style>
  <w:style w:type="table" w:styleId="TableGrid">
    <w:name w:val="Table Grid"/>
    <w:basedOn w:val="TableNormal"/>
    <w:uiPriority w:val="59"/>
    <w:rsid w:val="007776A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A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4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4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ED01-077C-45C6-97AF-FA0BD5CE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Denton, Philip</dc:creator>
  <cp:lastModifiedBy>Denton, Philip</cp:lastModifiedBy>
  <cp:revision>2</cp:revision>
  <cp:lastPrinted>2016-09-02T13:02:00Z</cp:lastPrinted>
  <dcterms:created xsi:type="dcterms:W3CDTF">2019-06-28T13:22:00Z</dcterms:created>
  <dcterms:modified xsi:type="dcterms:W3CDTF">2019-06-28T13:22:00Z</dcterms:modified>
</cp:coreProperties>
</file>