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544"/>
      </w:tblGrid>
      <w:tr w:rsidR="005135E3" w:rsidTr="0053579F">
        <w:trPr>
          <w:trHeight w:val="690"/>
        </w:trPr>
        <w:tc>
          <w:tcPr>
            <w:tcW w:w="6805" w:type="dxa"/>
            <w:vAlign w:val="center"/>
          </w:tcPr>
          <w:p w:rsidR="005B6FEF" w:rsidRPr="00EA1B3E" w:rsidRDefault="005135E3" w:rsidP="002E63DB">
            <w:pPr>
              <w:rPr>
                <w:b/>
                <w:sz w:val="32"/>
                <w:szCs w:val="32"/>
              </w:rPr>
            </w:pPr>
            <w:r w:rsidRPr="00EA1B3E">
              <w:rPr>
                <w:b/>
                <w:sz w:val="32"/>
                <w:szCs w:val="32"/>
              </w:rPr>
              <w:t>Faculty of Science</w:t>
            </w:r>
          </w:p>
          <w:p w:rsidR="005135E3" w:rsidRPr="00EA1B3E" w:rsidRDefault="005135E3" w:rsidP="002E63DB">
            <w:pPr>
              <w:rPr>
                <w:sz w:val="28"/>
                <w:szCs w:val="28"/>
              </w:rPr>
            </w:pPr>
            <w:r w:rsidRPr="00EA1B3E">
              <w:rPr>
                <w:sz w:val="28"/>
                <w:szCs w:val="28"/>
              </w:rPr>
              <w:t>Employability-related content</w:t>
            </w:r>
            <w:r w:rsidR="00B9585F" w:rsidRPr="00EA1B3E">
              <w:rPr>
                <w:sz w:val="28"/>
                <w:szCs w:val="28"/>
              </w:rPr>
              <w:t>: Minimum expectations</w:t>
            </w:r>
          </w:p>
          <w:p w:rsidR="005135E3" w:rsidRPr="00EA1B3E" w:rsidRDefault="00A5311D" w:rsidP="002E63DB">
            <w:pPr>
              <w:rPr>
                <w:b/>
              </w:rPr>
            </w:pPr>
            <w:r>
              <w:rPr>
                <w:b/>
              </w:rPr>
              <w:t xml:space="preserve">Applies to </w:t>
            </w:r>
            <w:proofErr w:type="spellStart"/>
            <w:r>
              <w:rPr>
                <w:b/>
              </w:rPr>
              <w:t>NSP</w:t>
            </w:r>
            <w:proofErr w:type="spellEnd"/>
            <w:r>
              <w:rPr>
                <w:b/>
              </w:rPr>
              <w:t xml:space="preserve"> and PBS (not </w:t>
            </w:r>
            <w:proofErr w:type="spellStart"/>
            <w:r>
              <w:rPr>
                <w:b/>
              </w:rPr>
              <w:t>MPharm</w:t>
            </w:r>
            <w:proofErr w:type="spellEnd"/>
            <w:r>
              <w:rPr>
                <w:b/>
              </w:rPr>
              <w:t>) UG Programmes</w:t>
            </w:r>
          </w:p>
        </w:tc>
        <w:tc>
          <w:tcPr>
            <w:tcW w:w="3544" w:type="dxa"/>
          </w:tcPr>
          <w:p w:rsidR="005135E3" w:rsidRDefault="005135E3" w:rsidP="009031F7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EB78693" wp14:editId="61B2B47B">
                  <wp:extent cx="1802726" cy="53723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533" cy="562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11D" w:rsidRDefault="00A5311D" w:rsidP="009031F7">
      <w:pPr>
        <w:tabs>
          <w:tab w:val="left" w:pos="6629"/>
        </w:tabs>
        <w:ind w:left="-34"/>
        <w:rPr>
          <w:b/>
          <w:sz w:val="28"/>
          <w:szCs w:val="28"/>
        </w:rPr>
      </w:pPr>
    </w:p>
    <w:p w:rsidR="00B9585F" w:rsidRPr="00EA1B3E" w:rsidRDefault="00B9585F" w:rsidP="009031F7">
      <w:pPr>
        <w:tabs>
          <w:tab w:val="left" w:pos="6629"/>
        </w:tabs>
        <w:ind w:left="-34"/>
        <w:rPr>
          <w:b/>
          <w:sz w:val="28"/>
          <w:szCs w:val="28"/>
        </w:rPr>
      </w:pPr>
      <w:r w:rsidRPr="00EA1B3E">
        <w:rPr>
          <w:b/>
          <w:sz w:val="28"/>
          <w:szCs w:val="28"/>
        </w:rPr>
        <w:t>Context</w:t>
      </w:r>
    </w:p>
    <w:p w:rsidR="00B9585F" w:rsidRPr="00EA1B3E" w:rsidRDefault="00B9585F" w:rsidP="009031F7">
      <w:pPr>
        <w:tabs>
          <w:tab w:val="left" w:pos="6629"/>
        </w:tabs>
        <w:ind w:left="-34"/>
        <w:rPr>
          <w:szCs w:val="24"/>
        </w:rPr>
      </w:pPr>
      <w:r w:rsidRPr="00EA1B3E">
        <w:rPr>
          <w:szCs w:val="24"/>
        </w:rPr>
        <w:t xml:space="preserve">The Faculty has a strong record in providing discipline-specific activities within our UG programmes that simulate the workplace and prepare students for employment. The Faculty’s minimum expectations for employability content </w:t>
      </w:r>
      <w:r w:rsidR="0053579F" w:rsidRPr="00EA1B3E">
        <w:rPr>
          <w:szCs w:val="24"/>
        </w:rPr>
        <w:t>by</w:t>
      </w:r>
      <w:r w:rsidRPr="00EA1B3E">
        <w:rPr>
          <w:szCs w:val="24"/>
        </w:rPr>
        <w:t xml:space="preserve"> level </w:t>
      </w:r>
      <w:proofErr w:type="gramStart"/>
      <w:r w:rsidRPr="00EA1B3E">
        <w:rPr>
          <w:szCs w:val="24"/>
        </w:rPr>
        <w:t>6</w:t>
      </w:r>
      <w:proofErr w:type="gramEnd"/>
      <w:r w:rsidRPr="00EA1B3E">
        <w:rPr>
          <w:szCs w:val="24"/>
        </w:rPr>
        <w:t xml:space="preserve"> exclusively cover skills and information of general value, not tied to specific disciplines.</w:t>
      </w:r>
    </w:p>
    <w:p w:rsidR="00B9585F" w:rsidRPr="00EA1B3E" w:rsidRDefault="00B9585F" w:rsidP="009031F7">
      <w:pPr>
        <w:tabs>
          <w:tab w:val="left" w:pos="6629"/>
        </w:tabs>
        <w:ind w:left="-34"/>
        <w:rPr>
          <w:b/>
          <w:sz w:val="28"/>
          <w:szCs w:val="28"/>
        </w:rPr>
      </w:pPr>
    </w:p>
    <w:p w:rsidR="00A5311D" w:rsidRDefault="002E63DB" w:rsidP="009031F7">
      <w:pPr>
        <w:tabs>
          <w:tab w:val="left" w:pos="6629"/>
        </w:tabs>
        <w:ind w:left="-34"/>
        <w:rPr>
          <w:b/>
          <w:sz w:val="28"/>
          <w:szCs w:val="28"/>
        </w:rPr>
      </w:pPr>
      <w:r w:rsidRPr="00EA1B3E">
        <w:rPr>
          <w:b/>
          <w:sz w:val="28"/>
          <w:szCs w:val="28"/>
        </w:rPr>
        <w:t xml:space="preserve">Minimum expectations </w:t>
      </w:r>
      <w:r w:rsidR="007F4009" w:rsidRPr="00EA1B3E">
        <w:rPr>
          <w:b/>
          <w:sz w:val="28"/>
          <w:szCs w:val="28"/>
        </w:rPr>
        <w:t>by</w:t>
      </w:r>
      <w:r w:rsidRPr="00EA1B3E">
        <w:rPr>
          <w:b/>
          <w:sz w:val="28"/>
          <w:szCs w:val="28"/>
        </w:rPr>
        <w:t xml:space="preserve"> Level 6 </w:t>
      </w:r>
    </w:p>
    <w:p w:rsidR="00A5311D" w:rsidRDefault="00A5311D" w:rsidP="009031F7">
      <w:pPr>
        <w:tabs>
          <w:tab w:val="left" w:pos="6629"/>
        </w:tabs>
        <w:ind w:left="-34"/>
        <w:rPr>
          <w:b/>
          <w:sz w:val="28"/>
          <w:szCs w:val="28"/>
        </w:rPr>
      </w:pPr>
    </w:p>
    <w:p w:rsidR="00EA1B3E" w:rsidRPr="00EA1B3E" w:rsidRDefault="00C57460" w:rsidP="009031F7">
      <w:pPr>
        <w:tabs>
          <w:tab w:val="left" w:pos="6629"/>
        </w:tabs>
        <w:ind w:left="-34"/>
        <w:rPr>
          <w:color w:val="000000" w:themeColor="text1"/>
          <w:szCs w:val="24"/>
        </w:rPr>
      </w:pPr>
      <w:r w:rsidRPr="00EA1B3E">
        <w:rPr>
          <w:szCs w:val="24"/>
        </w:rPr>
        <w:t>Academic staff will provide activit</w:t>
      </w:r>
      <w:r w:rsidR="00E93398" w:rsidRPr="00EA1B3E">
        <w:rPr>
          <w:szCs w:val="24"/>
        </w:rPr>
        <w:t>ies around the following themes</w:t>
      </w:r>
      <w:r w:rsidR="00635E3D" w:rsidRPr="00EA1B3E">
        <w:rPr>
          <w:szCs w:val="24"/>
        </w:rPr>
        <w:t xml:space="preserve"> by/</w:t>
      </w:r>
      <w:r w:rsidR="0053579F" w:rsidRPr="00EA1B3E">
        <w:rPr>
          <w:szCs w:val="24"/>
        </w:rPr>
        <w:t xml:space="preserve">within </w:t>
      </w:r>
      <w:r w:rsidR="00E93398" w:rsidRPr="00EA1B3E">
        <w:rPr>
          <w:szCs w:val="24"/>
        </w:rPr>
        <w:t xml:space="preserve">Level 6. </w:t>
      </w:r>
      <w:r w:rsidR="0053579F" w:rsidRPr="00EA1B3E">
        <w:rPr>
          <w:szCs w:val="24"/>
        </w:rPr>
        <w:t>I</w:t>
      </w:r>
      <w:r w:rsidR="00E93398" w:rsidRPr="00EA1B3E">
        <w:rPr>
          <w:szCs w:val="24"/>
        </w:rPr>
        <w:t xml:space="preserve">t </w:t>
      </w:r>
      <w:proofErr w:type="gramStart"/>
      <w:r w:rsidR="00E93398" w:rsidRPr="00EA1B3E">
        <w:rPr>
          <w:szCs w:val="24"/>
        </w:rPr>
        <w:t>is recognised</w:t>
      </w:r>
      <w:proofErr w:type="gramEnd"/>
      <w:r w:rsidR="00E93398" w:rsidRPr="00EA1B3E">
        <w:rPr>
          <w:szCs w:val="24"/>
        </w:rPr>
        <w:t xml:space="preserve"> that some activities will be covered in previous levels according to the best interests of students on individual programmes.</w:t>
      </w:r>
      <w:r w:rsidR="008A4356">
        <w:rPr>
          <w:szCs w:val="24"/>
        </w:rPr>
        <w:t xml:space="preserve"> There is one exception: If feedback on a draft CV </w:t>
      </w:r>
      <w:proofErr w:type="gramStart"/>
      <w:r w:rsidR="008A4356">
        <w:rPr>
          <w:szCs w:val="24"/>
        </w:rPr>
        <w:t>was provided</w:t>
      </w:r>
      <w:proofErr w:type="gramEnd"/>
      <w:r w:rsidR="008A4356">
        <w:rPr>
          <w:szCs w:val="24"/>
        </w:rPr>
        <w:t xml:space="preserve"> in a previous level, students should still be required to submit their most recent CV for checking in Level 6.</w:t>
      </w:r>
      <w:r w:rsidR="00784761">
        <w:rPr>
          <w:szCs w:val="24"/>
        </w:rPr>
        <w:t xml:space="preserve"> </w:t>
      </w:r>
      <w:r w:rsidR="00EA1B3E">
        <w:rPr>
          <w:color w:val="000000" w:themeColor="text1"/>
          <w:szCs w:val="24"/>
        </w:rPr>
        <w:t xml:space="preserve">To enable this activity, programmes may schedule up to </w:t>
      </w:r>
      <w:proofErr w:type="gramStart"/>
      <w:r w:rsidR="00EA1B3E">
        <w:rPr>
          <w:color w:val="000000" w:themeColor="text1"/>
          <w:szCs w:val="24"/>
        </w:rPr>
        <w:t>8</w:t>
      </w:r>
      <w:proofErr w:type="gramEnd"/>
      <w:r w:rsidR="00EA1B3E">
        <w:rPr>
          <w:color w:val="000000" w:themeColor="text1"/>
          <w:szCs w:val="24"/>
        </w:rPr>
        <w:t xml:space="preserve"> personal tutorials in Level 6 </w:t>
      </w:r>
      <w:r w:rsidR="00784761">
        <w:rPr>
          <w:color w:val="000000" w:themeColor="text1"/>
          <w:szCs w:val="24"/>
        </w:rPr>
        <w:t>from</w:t>
      </w:r>
      <w:r w:rsidR="00EA1B3E">
        <w:rPr>
          <w:color w:val="000000" w:themeColor="text1"/>
          <w:szCs w:val="24"/>
        </w:rPr>
        <w:t xml:space="preserve"> 2018/19.</w:t>
      </w:r>
    </w:p>
    <w:p w:rsidR="002E63DB" w:rsidRPr="00EA1B3E" w:rsidRDefault="002E63DB" w:rsidP="009031F7">
      <w:pPr>
        <w:tabs>
          <w:tab w:val="left" w:pos="6629"/>
        </w:tabs>
        <w:ind w:left="-34"/>
        <w:rPr>
          <w:noProof/>
          <w:lang w:eastAsia="en-GB"/>
        </w:rPr>
      </w:pPr>
    </w:p>
    <w:tbl>
      <w:tblPr>
        <w:tblStyle w:val="TableGrid"/>
        <w:tblW w:w="9828" w:type="dxa"/>
        <w:tblInd w:w="-142" w:type="dxa"/>
        <w:tblLook w:val="04A0" w:firstRow="1" w:lastRow="0" w:firstColumn="1" w:lastColumn="0" w:noHBand="0" w:noVBand="1"/>
      </w:tblPr>
      <w:tblGrid>
        <w:gridCol w:w="1413"/>
        <w:gridCol w:w="8415"/>
      </w:tblGrid>
      <w:tr w:rsidR="00EA1B3E" w:rsidRPr="00EA1B3E" w:rsidTr="00C5584C">
        <w:tc>
          <w:tcPr>
            <w:tcW w:w="1413" w:type="dxa"/>
          </w:tcPr>
          <w:p w:rsidR="0076523D" w:rsidRPr="00EA1B3E" w:rsidRDefault="0076523D" w:rsidP="00E95D65">
            <w:pPr>
              <w:spacing w:before="60" w:after="60"/>
            </w:pPr>
            <w:r w:rsidRPr="00EA1B3E">
              <w:t>Plan</w:t>
            </w:r>
            <w:r w:rsidR="00C5584C" w:rsidRPr="00EA1B3E">
              <w:t>ning</w:t>
            </w:r>
          </w:p>
        </w:tc>
        <w:tc>
          <w:tcPr>
            <w:tcW w:w="8415" w:type="dxa"/>
          </w:tcPr>
          <w:p w:rsidR="0039438D" w:rsidRPr="00EA1B3E" w:rsidRDefault="00163ECB" w:rsidP="00635E3D">
            <w:pPr>
              <w:spacing w:before="60" w:after="60"/>
            </w:pPr>
            <w:r w:rsidRPr="00EA1B3E">
              <w:t>Guidance on</w:t>
            </w:r>
            <w:r w:rsidR="0076523D" w:rsidRPr="00EA1B3E">
              <w:t xml:space="preserve"> career-planning resources</w:t>
            </w:r>
            <w:r w:rsidR="00B9585F" w:rsidRPr="00EA1B3E">
              <w:t xml:space="preserve"> and future planning.</w:t>
            </w:r>
            <w:r w:rsidR="00AC011A" w:rsidRPr="00EA1B3E">
              <w:t xml:space="preserve"> The Careers Team will track which programmes’ students have received hard copy Career Planning Guides and </w:t>
            </w:r>
            <w:r w:rsidR="00EA1B3E">
              <w:t xml:space="preserve">will </w:t>
            </w:r>
            <w:r w:rsidR="00AC011A" w:rsidRPr="00EA1B3E">
              <w:t xml:space="preserve">fill in gaps through arrangement with programmes’ Personal Tutors.  </w:t>
            </w:r>
          </w:p>
        </w:tc>
      </w:tr>
      <w:tr w:rsidR="00EA1B3E" w:rsidRPr="00EA1B3E" w:rsidTr="00C5584C">
        <w:tc>
          <w:tcPr>
            <w:tcW w:w="1413" w:type="dxa"/>
          </w:tcPr>
          <w:p w:rsidR="00C57460" w:rsidRPr="00EA1B3E" w:rsidRDefault="00C57460" w:rsidP="00C57460">
            <w:pPr>
              <w:spacing w:before="60" w:after="60"/>
            </w:pPr>
            <w:r w:rsidRPr="00EA1B3E">
              <w:t>Further study</w:t>
            </w:r>
          </w:p>
        </w:tc>
        <w:tc>
          <w:tcPr>
            <w:tcW w:w="8415" w:type="dxa"/>
          </w:tcPr>
          <w:p w:rsidR="00C57460" w:rsidRPr="00EA1B3E" w:rsidRDefault="00C57460" w:rsidP="00B3608F">
            <w:pPr>
              <w:spacing w:before="60" w:after="60"/>
            </w:pPr>
            <w:proofErr w:type="gramStart"/>
            <w:r w:rsidRPr="00EA1B3E">
              <w:t>PG courses and how to find and apply for these.</w:t>
            </w:r>
            <w:proofErr w:type="gramEnd"/>
            <w:r w:rsidR="00E271A6">
              <w:t xml:space="preserve"> </w:t>
            </w:r>
          </w:p>
        </w:tc>
      </w:tr>
      <w:tr w:rsidR="00EA1B3E" w:rsidRPr="00EA1B3E" w:rsidTr="00C5584C">
        <w:tc>
          <w:tcPr>
            <w:tcW w:w="1413" w:type="dxa"/>
          </w:tcPr>
          <w:p w:rsidR="00C57460" w:rsidRPr="00EA1B3E" w:rsidRDefault="00C57460" w:rsidP="00C57460">
            <w:pPr>
              <w:spacing w:before="60" w:after="60"/>
            </w:pPr>
            <w:r w:rsidRPr="00EA1B3E">
              <w:t>Finding jobs</w:t>
            </w:r>
          </w:p>
        </w:tc>
        <w:tc>
          <w:tcPr>
            <w:tcW w:w="8415" w:type="dxa"/>
          </w:tcPr>
          <w:p w:rsidR="00C57460" w:rsidRPr="00EA1B3E" w:rsidRDefault="00C57460" w:rsidP="00C57460">
            <w:pPr>
              <w:spacing w:before="60" w:after="60"/>
            </w:pPr>
            <w:proofErr w:type="gramStart"/>
            <w:r w:rsidRPr="00EA1B3E">
              <w:t>Guidance on subject-specific and generic career opportunities and how to find these.</w:t>
            </w:r>
            <w:proofErr w:type="gramEnd"/>
          </w:p>
        </w:tc>
      </w:tr>
      <w:tr w:rsidR="00EA1B3E" w:rsidRPr="00EA1B3E" w:rsidTr="00C5584C">
        <w:tc>
          <w:tcPr>
            <w:tcW w:w="1413" w:type="dxa"/>
          </w:tcPr>
          <w:p w:rsidR="00C57460" w:rsidRPr="00EA1B3E" w:rsidRDefault="00C57460" w:rsidP="00C57460">
            <w:pPr>
              <w:spacing w:before="60" w:after="60"/>
            </w:pPr>
            <w:r w:rsidRPr="00EA1B3E">
              <w:t>Application</w:t>
            </w:r>
          </w:p>
        </w:tc>
        <w:tc>
          <w:tcPr>
            <w:tcW w:w="8415" w:type="dxa"/>
          </w:tcPr>
          <w:p w:rsidR="00C57460" w:rsidRPr="00EA1B3E" w:rsidRDefault="00C57460" w:rsidP="002272F5">
            <w:pPr>
              <w:spacing w:before="60" w:after="60"/>
            </w:pPr>
            <w:r w:rsidRPr="00EA1B3E">
              <w:t>Guidance on application forms. A contemporary CV and cover letter</w:t>
            </w:r>
            <w:r w:rsidR="0088362F" w:rsidRPr="00EA1B3E">
              <w:t xml:space="preserve"> through feedback provided by the </w:t>
            </w:r>
            <w:r w:rsidR="0053579F" w:rsidRPr="00EA1B3E">
              <w:t xml:space="preserve">Personal Tutor. The Careers Team </w:t>
            </w:r>
            <w:r w:rsidR="002272F5">
              <w:t xml:space="preserve">have </w:t>
            </w:r>
            <w:r w:rsidR="0053579F" w:rsidRPr="00EA1B3E">
              <w:t>provide</w:t>
            </w:r>
            <w:r w:rsidR="002272F5">
              <w:t>d</w:t>
            </w:r>
            <w:r w:rsidR="0053579F" w:rsidRPr="00EA1B3E">
              <w:t xml:space="preserve"> </w:t>
            </w:r>
            <w:hyperlink r:id="rId6" w:history="1">
              <w:r w:rsidR="0053579F" w:rsidRPr="002272F5">
                <w:rPr>
                  <w:rStyle w:val="Hyperlink"/>
                </w:rPr>
                <w:t>contemporary guidance</w:t>
              </w:r>
            </w:hyperlink>
            <w:bookmarkStart w:id="0" w:name="_GoBack"/>
            <w:bookmarkEnd w:id="0"/>
            <w:r w:rsidR="0053579F" w:rsidRPr="00EA1B3E">
              <w:t xml:space="preserve"> for Tutors to facilitate this. Where felt necessary, Tutors may refer tutees to the </w:t>
            </w:r>
            <w:r w:rsidR="0088362F" w:rsidRPr="00EA1B3E">
              <w:t>Careers Team</w:t>
            </w:r>
            <w:r w:rsidR="0053579F" w:rsidRPr="00EA1B3E">
              <w:t>’s</w:t>
            </w:r>
            <w:r w:rsidR="004E42EC" w:rsidRPr="00EA1B3E">
              <w:t xml:space="preserve"> CV/Application form checking service</w:t>
            </w:r>
            <w:r w:rsidR="00587BA3" w:rsidRPr="00EA1B3E">
              <w:t xml:space="preserve"> or CV clinics</w:t>
            </w:r>
            <w:r w:rsidR="0088362F" w:rsidRPr="00EA1B3E">
              <w:t>.</w:t>
            </w:r>
            <w:r w:rsidR="004E42EC" w:rsidRPr="00EA1B3E">
              <w:t xml:space="preserve"> </w:t>
            </w:r>
            <w:r w:rsidR="00B3608F">
              <w:t xml:space="preserve">Students </w:t>
            </w:r>
            <w:proofErr w:type="gramStart"/>
            <w:r w:rsidR="00B3608F">
              <w:t>may also be r</w:t>
            </w:r>
            <w:r w:rsidR="00E271A6">
              <w:t>eferr</w:t>
            </w:r>
            <w:r w:rsidR="00B3608F">
              <w:t>ed</w:t>
            </w:r>
            <w:proofErr w:type="gramEnd"/>
            <w:r w:rsidR="00B3608F">
              <w:t xml:space="preserve"> </w:t>
            </w:r>
            <w:r w:rsidR="00E271A6">
              <w:t xml:space="preserve">to </w:t>
            </w:r>
            <w:proofErr w:type="spellStart"/>
            <w:r w:rsidR="00E271A6">
              <w:t>skills@LJMU</w:t>
            </w:r>
            <w:proofErr w:type="spellEnd"/>
            <w:r w:rsidR="00E271A6">
              <w:t xml:space="preserve"> if </w:t>
            </w:r>
            <w:r w:rsidR="00B3608F">
              <w:t xml:space="preserve">support for </w:t>
            </w:r>
            <w:r w:rsidR="00E271A6">
              <w:t xml:space="preserve">written English </w:t>
            </w:r>
            <w:r w:rsidR="00B3608F">
              <w:t>is felt necessary</w:t>
            </w:r>
            <w:r w:rsidR="00E271A6">
              <w:t>.</w:t>
            </w:r>
          </w:p>
        </w:tc>
      </w:tr>
      <w:tr w:rsidR="00EA1B3E" w:rsidRPr="00EA1B3E" w:rsidTr="00C5584C">
        <w:tc>
          <w:tcPr>
            <w:tcW w:w="1413" w:type="dxa"/>
          </w:tcPr>
          <w:p w:rsidR="00C57460" w:rsidRPr="00EA1B3E" w:rsidRDefault="00C57460" w:rsidP="00C57460">
            <w:pPr>
              <w:spacing w:before="60" w:after="60"/>
            </w:pPr>
            <w:r w:rsidRPr="00EA1B3E">
              <w:t xml:space="preserve">Selection </w:t>
            </w:r>
          </w:p>
        </w:tc>
        <w:tc>
          <w:tcPr>
            <w:tcW w:w="8415" w:type="dxa"/>
          </w:tcPr>
          <w:p w:rsidR="00C57460" w:rsidRPr="00EA1B3E" w:rsidRDefault="00C57460" w:rsidP="002272F5">
            <w:pPr>
              <w:spacing w:before="60" w:after="60"/>
            </w:pPr>
            <w:r w:rsidRPr="00EA1B3E">
              <w:t>Guidance on modern selection methods</w:t>
            </w:r>
            <w:r w:rsidR="00B964E0">
              <w:t xml:space="preserve"> and</w:t>
            </w:r>
            <w:r w:rsidRPr="00EA1B3E">
              <w:t xml:space="preserve"> </w:t>
            </w:r>
            <w:r w:rsidR="00B964E0">
              <w:t xml:space="preserve">advice on interview techniques </w:t>
            </w:r>
            <w:r w:rsidRPr="00EA1B3E">
              <w:t>A simulated job interview</w:t>
            </w:r>
            <w:r w:rsidR="000A703E" w:rsidRPr="00EA1B3E">
              <w:t xml:space="preserve"> and feedback </w:t>
            </w:r>
            <w:r w:rsidR="004E42EC" w:rsidRPr="00EA1B3E">
              <w:t>provided by the</w:t>
            </w:r>
            <w:r w:rsidR="000A703E" w:rsidRPr="00EA1B3E">
              <w:t xml:space="preserve"> </w:t>
            </w:r>
            <w:r w:rsidR="0053579F" w:rsidRPr="00EA1B3E">
              <w:t>Personal Tutor</w:t>
            </w:r>
            <w:r w:rsidR="00B964E0">
              <w:t xml:space="preserve"> in encouraged</w:t>
            </w:r>
            <w:r w:rsidR="00B3608F">
              <w:t>: This may through tutor-tutee interviews or peer-to-peer interviews supervised by the tutor, students acting as interviewer and interviewee</w:t>
            </w:r>
            <w:r w:rsidR="0053579F" w:rsidRPr="00EA1B3E">
              <w:t xml:space="preserve">. The Careers Team </w:t>
            </w:r>
            <w:r w:rsidR="002272F5">
              <w:t>have</w:t>
            </w:r>
            <w:r w:rsidR="0053579F" w:rsidRPr="00EA1B3E">
              <w:t xml:space="preserve"> provide</w:t>
            </w:r>
            <w:r w:rsidR="002272F5">
              <w:t>d</w:t>
            </w:r>
            <w:r w:rsidR="0053579F" w:rsidRPr="00EA1B3E">
              <w:t xml:space="preserve"> a </w:t>
            </w:r>
            <w:hyperlink r:id="rId7" w:history="1">
              <w:r w:rsidR="0053579F" w:rsidRPr="002272F5">
                <w:rPr>
                  <w:rStyle w:val="Hyperlink"/>
                </w:rPr>
                <w:t>mock interview resource</w:t>
              </w:r>
            </w:hyperlink>
            <w:r w:rsidR="0053579F" w:rsidRPr="00EA1B3E">
              <w:t xml:space="preserve"> to facilitate this. Where felt necessary, Tutors may refer tutees to the </w:t>
            </w:r>
            <w:r w:rsidR="000A703E" w:rsidRPr="00EA1B3E">
              <w:t>Careers Team</w:t>
            </w:r>
            <w:r w:rsidR="004E42EC" w:rsidRPr="00EA1B3E">
              <w:t xml:space="preserve"> mock interview service.</w:t>
            </w:r>
            <w:r w:rsidRPr="00EA1B3E">
              <w:t xml:space="preserve"> </w:t>
            </w:r>
          </w:p>
        </w:tc>
      </w:tr>
      <w:tr w:rsidR="00EA1B3E" w:rsidRPr="00EA1B3E" w:rsidTr="00C5584C">
        <w:tc>
          <w:tcPr>
            <w:tcW w:w="1413" w:type="dxa"/>
          </w:tcPr>
          <w:p w:rsidR="00C57460" w:rsidRPr="00EA1B3E" w:rsidRDefault="00C57460" w:rsidP="00C57460">
            <w:pPr>
              <w:spacing w:before="60" w:after="60"/>
            </w:pPr>
            <w:r w:rsidRPr="00EA1B3E">
              <w:t>Events</w:t>
            </w:r>
          </w:p>
        </w:tc>
        <w:tc>
          <w:tcPr>
            <w:tcW w:w="8415" w:type="dxa"/>
          </w:tcPr>
          <w:p w:rsidR="00C57460" w:rsidRPr="00EA1B3E" w:rsidRDefault="00C57460" w:rsidP="00E271A6">
            <w:pPr>
              <w:spacing w:before="60" w:after="60"/>
            </w:pPr>
            <w:r w:rsidRPr="00EA1B3E">
              <w:t xml:space="preserve">Encouragement to attend employer events. </w:t>
            </w:r>
            <w:r w:rsidR="0053579F" w:rsidRPr="00EA1B3E">
              <w:t>The Careers Team will provide a list of attendin</w:t>
            </w:r>
            <w:r w:rsidR="00E271A6">
              <w:t>g students to Programme Leaders</w:t>
            </w:r>
            <w:r w:rsidR="00B3608F">
              <w:t xml:space="preserve">. </w:t>
            </w:r>
            <w:r w:rsidR="00E271A6">
              <w:t xml:space="preserve"> </w:t>
            </w:r>
            <w:r w:rsidR="00B3608F" w:rsidRPr="00EA1B3E">
              <w:t xml:space="preserve">Careers </w:t>
            </w:r>
            <w:r w:rsidR="00B3608F">
              <w:t xml:space="preserve">Advisors </w:t>
            </w:r>
            <w:r w:rsidR="00E271A6">
              <w:t>should have access to programme community sites</w:t>
            </w:r>
            <w:r w:rsidR="00B3608F">
              <w:t xml:space="preserve"> to promote events</w:t>
            </w:r>
            <w:r w:rsidR="00E271A6">
              <w:t>.</w:t>
            </w:r>
          </w:p>
        </w:tc>
      </w:tr>
      <w:tr w:rsidR="00EA1B3E" w:rsidRPr="00EA1B3E" w:rsidTr="00C5584C">
        <w:tc>
          <w:tcPr>
            <w:tcW w:w="1413" w:type="dxa"/>
          </w:tcPr>
          <w:p w:rsidR="00C57460" w:rsidRPr="00EA1B3E" w:rsidRDefault="00C57460" w:rsidP="00C57460">
            <w:pPr>
              <w:spacing w:before="60" w:after="60"/>
            </w:pPr>
            <w:r w:rsidRPr="00EA1B3E">
              <w:t>Alumni</w:t>
            </w:r>
          </w:p>
        </w:tc>
        <w:tc>
          <w:tcPr>
            <w:tcW w:w="8415" w:type="dxa"/>
          </w:tcPr>
          <w:p w:rsidR="006046A6" w:rsidRPr="00EA1B3E" w:rsidRDefault="00C57460" w:rsidP="00C57460">
            <w:pPr>
              <w:spacing w:before="60" w:after="60"/>
            </w:pPr>
            <w:r w:rsidRPr="00EA1B3E">
              <w:t>Encouragement to maintain contact with the Personal Tutor</w:t>
            </w:r>
            <w:r w:rsidR="006046A6" w:rsidRPr="00EA1B3E">
              <w:t>,</w:t>
            </w:r>
            <w:r w:rsidRPr="00EA1B3E">
              <w:t xml:space="preserve"> post-graduation.</w:t>
            </w:r>
          </w:p>
        </w:tc>
      </w:tr>
    </w:tbl>
    <w:p w:rsidR="00E271A6" w:rsidRDefault="00E271A6" w:rsidP="00E271A6">
      <w:pPr>
        <w:rPr>
          <w:b/>
          <w:szCs w:val="24"/>
        </w:rPr>
      </w:pPr>
    </w:p>
    <w:p w:rsidR="00E271A6" w:rsidRDefault="0092580B" w:rsidP="00E271A6">
      <w:pPr>
        <w:rPr>
          <w:szCs w:val="24"/>
        </w:rPr>
      </w:pPr>
      <w:r>
        <w:rPr>
          <w:szCs w:val="24"/>
        </w:rPr>
        <w:t xml:space="preserve">Employability activities </w:t>
      </w:r>
      <w:proofErr w:type="gramStart"/>
      <w:r>
        <w:rPr>
          <w:szCs w:val="24"/>
        </w:rPr>
        <w:t>will be discussed</w:t>
      </w:r>
      <w:proofErr w:type="gramEnd"/>
      <w:r>
        <w:rPr>
          <w:szCs w:val="24"/>
        </w:rPr>
        <w:t xml:space="preserve"> during Semester One PL-ADE-Director meetings.</w:t>
      </w:r>
    </w:p>
    <w:p w:rsidR="0092580B" w:rsidRDefault="0092580B" w:rsidP="00E271A6">
      <w:pPr>
        <w:rPr>
          <w:szCs w:val="24"/>
        </w:rPr>
      </w:pPr>
    </w:p>
    <w:p w:rsidR="00B3608F" w:rsidRDefault="00784761" w:rsidP="00B3608F">
      <w:pPr>
        <w:jc w:val="right"/>
        <w:rPr>
          <w:szCs w:val="24"/>
        </w:rPr>
      </w:pPr>
      <w:r>
        <w:rPr>
          <w:szCs w:val="24"/>
        </w:rPr>
        <w:t>Amended Programme Leaders Away Day 26/6/18</w:t>
      </w:r>
    </w:p>
    <w:p w:rsidR="00784761" w:rsidRPr="00E271A6" w:rsidRDefault="00784761" w:rsidP="00B3608F">
      <w:pPr>
        <w:jc w:val="right"/>
        <w:rPr>
          <w:szCs w:val="24"/>
        </w:rPr>
      </w:pPr>
      <w:r>
        <w:rPr>
          <w:szCs w:val="24"/>
        </w:rPr>
        <w:lastRenderedPageBreak/>
        <w:t>Approved FMT 4/7/18</w:t>
      </w:r>
    </w:p>
    <w:sectPr w:rsidR="00784761" w:rsidRPr="00E271A6" w:rsidSect="002E63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F6B"/>
    <w:multiLevelType w:val="hybridMultilevel"/>
    <w:tmpl w:val="FEDE1812"/>
    <w:lvl w:ilvl="0" w:tplc="9C6EC152">
      <w:start w:val="1"/>
      <w:numFmt w:val="bullet"/>
      <w:lvlText w:val="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FD1"/>
    <w:multiLevelType w:val="hybridMultilevel"/>
    <w:tmpl w:val="940C2D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181F"/>
    <w:multiLevelType w:val="hybridMultilevel"/>
    <w:tmpl w:val="2490F962"/>
    <w:lvl w:ilvl="0" w:tplc="08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270E7600"/>
    <w:multiLevelType w:val="hybridMultilevel"/>
    <w:tmpl w:val="816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7B28"/>
    <w:multiLevelType w:val="hybridMultilevel"/>
    <w:tmpl w:val="48289660"/>
    <w:lvl w:ilvl="0" w:tplc="11AEBE4E">
      <w:start w:val="1"/>
      <w:numFmt w:val="bullet"/>
      <w:lvlText w:val="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72602"/>
    <w:multiLevelType w:val="multilevel"/>
    <w:tmpl w:val="C222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40405"/>
    <w:multiLevelType w:val="hybridMultilevel"/>
    <w:tmpl w:val="C6AA18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A7450"/>
    <w:multiLevelType w:val="hybridMultilevel"/>
    <w:tmpl w:val="0916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D19C8"/>
    <w:multiLevelType w:val="hybridMultilevel"/>
    <w:tmpl w:val="FCE2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26109"/>
    <w:multiLevelType w:val="hybridMultilevel"/>
    <w:tmpl w:val="A83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CE"/>
    <w:rsid w:val="000658BB"/>
    <w:rsid w:val="000A703E"/>
    <w:rsid w:val="00136ADB"/>
    <w:rsid w:val="00156BB1"/>
    <w:rsid w:val="00163ECB"/>
    <w:rsid w:val="001738CE"/>
    <w:rsid w:val="00194E7D"/>
    <w:rsid w:val="001E1557"/>
    <w:rsid w:val="001F3DBB"/>
    <w:rsid w:val="001F4640"/>
    <w:rsid w:val="002272F5"/>
    <w:rsid w:val="002563BB"/>
    <w:rsid w:val="002714A6"/>
    <w:rsid w:val="002E63DB"/>
    <w:rsid w:val="002F5073"/>
    <w:rsid w:val="0035074C"/>
    <w:rsid w:val="00362FA1"/>
    <w:rsid w:val="0039438D"/>
    <w:rsid w:val="00397D62"/>
    <w:rsid w:val="003B0E20"/>
    <w:rsid w:val="0044680D"/>
    <w:rsid w:val="0045745F"/>
    <w:rsid w:val="004B55A1"/>
    <w:rsid w:val="004E42EC"/>
    <w:rsid w:val="005135E3"/>
    <w:rsid w:val="0053579F"/>
    <w:rsid w:val="0054069C"/>
    <w:rsid w:val="005573A2"/>
    <w:rsid w:val="005756EA"/>
    <w:rsid w:val="00576525"/>
    <w:rsid w:val="00587BA3"/>
    <w:rsid w:val="005B6FEF"/>
    <w:rsid w:val="006046A6"/>
    <w:rsid w:val="0063139C"/>
    <w:rsid w:val="00635E3D"/>
    <w:rsid w:val="00657634"/>
    <w:rsid w:val="00666C8D"/>
    <w:rsid w:val="00687991"/>
    <w:rsid w:val="006C4B4D"/>
    <w:rsid w:val="00735063"/>
    <w:rsid w:val="0076523D"/>
    <w:rsid w:val="00784761"/>
    <w:rsid w:val="0079403F"/>
    <w:rsid w:val="007E5680"/>
    <w:rsid w:val="007F4009"/>
    <w:rsid w:val="0088362F"/>
    <w:rsid w:val="008A4356"/>
    <w:rsid w:val="00905B60"/>
    <w:rsid w:val="0092580B"/>
    <w:rsid w:val="009436D9"/>
    <w:rsid w:val="009D4FB9"/>
    <w:rsid w:val="00A00CE8"/>
    <w:rsid w:val="00A051D3"/>
    <w:rsid w:val="00A06788"/>
    <w:rsid w:val="00A37524"/>
    <w:rsid w:val="00A5311D"/>
    <w:rsid w:val="00A57FEC"/>
    <w:rsid w:val="00A64304"/>
    <w:rsid w:val="00AB1E28"/>
    <w:rsid w:val="00AC011A"/>
    <w:rsid w:val="00B220CE"/>
    <w:rsid w:val="00B3608F"/>
    <w:rsid w:val="00B8368B"/>
    <w:rsid w:val="00B9585F"/>
    <w:rsid w:val="00B964E0"/>
    <w:rsid w:val="00C143F5"/>
    <w:rsid w:val="00C249F8"/>
    <w:rsid w:val="00C5584C"/>
    <w:rsid w:val="00C57460"/>
    <w:rsid w:val="00C67862"/>
    <w:rsid w:val="00C86F8D"/>
    <w:rsid w:val="00CA01F5"/>
    <w:rsid w:val="00CC04FF"/>
    <w:rsid w:val="00CF6613"/>
    <w:rsid w:val="00D4126F"/>
    <w:rsid w:val="00DB76C8"/>
    <w:rsid w:val="00E271A6"/>
    <w:rsid w:val="00E47DCA"/>
    <w:rsid w:val="00E93398"/>
    <w:rsid w:val="00EA1B3E"/>
    <w:rsid w:val="00EC27C6"/>
    <w:rsid w:val="00EE731C"/>
    <w:rsid w:val="00F15658"/>
    <w:rsid w:val="00F328B1"/>
    <w:rsid w:val="00FE0F97"/>
    <w:rsid w:val="00FF2E9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E2FD"/>
  <w15:chartTrackingRefBased/>
  <w15:docId w15:val="{B46688AD-FF98-4CFC-84BF-3B5D6E5D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CE"/>
    <w:pPr>
      <w:spacing w:after="0" w:line="240" w:lineRule="auto"/>
    </w:pPr>
    <w:rPr>
      <w:rFonts w:ascii="Arial" w:hAnsi="Arial" w:cs="Calibri"/>
      <w:sz w:val="24"/>
    </w:rPr>
  </w:style>
  <w:style w:type="paragraph" w:styleId="Heading3">
    <w:name w:val="heading 3"/>
    <w:basedOn w:val="Normal"/>
    <w:link w:val="Heading3Char"/>
    <w:uiPriority w:val="9"/>
    <w:qFormat/>
    <w:rsid w:val="007652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3D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523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6B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wie.ljmu.ac.uk/FacultyLTA/resources/PLresources/Science%20personal%20tutor%20resource%20-%20interview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wie.ljmu.ac.uk/FacultyLTA/resources/PLresources/Science%20personal%20tutor%20resource%20-%20CV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17</cp:revision>
  <cp:lastPrinted>2018-06-07T12:56:00Z</cp:lastPrinted>
  <dcterms:created xsi:type="dcterms:W3CDTF">2018-06-07T13:11:00Z</dcterms:created>
  <dcterms:modified xsi:type="dcterms:W3CDTF">2019-07-17T11:16:00Z</dcterms:modified>
</cp:coreProperties>
</file>