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1F" w:rsidRPr="008C68F0" w:rsidRDefault="005731E8" w:rsidP="00851991">
      <w:pPr>
        <w:rPr>
          <w:rFonts w:ascii="Arial" w:hAnsi="Arial" w:cs="Arial"/>
          <w:b/>
          <w:sz w:val="28"/>
          <w:szCs w:val="28"/>
        </w:rPr>
      </w:pPr>
      <w:r w:rsidRPr="008C68F0">
        <w:rPr>
          <w:rFonts w:ascii="Arial" w:hAnsi="Arial" w:cs="Arial"/>
          <w:b/>
          <w:sz w:val="28"/>
          <w:szCs w:val="28"/>
        </w:rPr>
        <w:t>SCS</w:t>
      </w:r>
      <w:r w:rsidR="00D5467A" w:rsidRPr="008C68F0">
        <w:rPr>
          <w:rFonts w:ascii="Arial" w:hAnsi="Arial" w:cs="Arial"/>
          <w:b/>
          <w:sz w:val="28"/>
          <w:szCs w:val="28"/>
        </w:rPr>
        <w:t xml:space="preserve"> </w:t>
      </w:r>
      <w:r w:rsidRPr="008C68F0">
        <w:rPr>
          <w:rFonts w:ascii="Arial" w:hAnsi="Arial" w:cs="Arial"/>
          <w:b/>
          <w:sz w:val="28"/>
          <w:szCs w:val="28"/>
        </w:rPr>
        <w:t xml:space="preserve">Teaching Observation </w:t>
      </w:r>
      <w:r w:rsidR="00D9111F" w:rsidRPr="008C68F0">
        <w:rPr>
          <w:rFonts w:ascii="Arial" w:hAnsi="Arial" w:cs="Arial"/>
          <w:b/>
          <w:sz w:val="28"/>
          <w:szCs w:val="28"/>
        </w:rPr>
        <w:t>Scheme Annual Report</w:t>
      </w:r>
      <w:r w:rsidR="00D5467A" w:rsidRPr="008C68F0">
        <w:rPr>
          <w:rFonts w:ascii="Arial" w:hAnsi="Arial" w:cs="Arial"/>
          <w:b/>
          <w:sz w:val="28"/>
          <w:szCs w:val="28"/>
        </w:rPr>
        <w:t xml:space="preserve"> 201</w:t>
      </w:r>
      <w:r w:rsidR="00A96EC9">
        <w:rPr>
          <w:rFonts w:ascii="Arial" w:hAnsi="Arial" w:cs="Arial"/>
          <w:b/>
          <w:sz w:val="28"/>
          <w:szCs w:val="28"/>
        </w:rPr>
        <w:t>8</w:t>
      </w:r>
      <w:r w:rsidR="00D5467A" w:rsidRPr="008C68F0">
        <w:rPr>
          <w:rFonts w:ascii="Arial" w:hAnsi="Arial" w:cs="Arial"/>
          <w:b/>
          <w:sz w:val="28"/>
          <w:szCs w:val="28"/>
        </w:rPr>
        <w:t>-1</w:t>
      </w:r>
      <w:r w:rsidR="00A96EC9">
        <w:rPr>
          <w:rFonts w:ascii="Arial" w:hAnsi="Arial" w:cs="Arial"/>
          <w:b/>
          <w:sz w:val="28"/>
          <w:szCs w:val="28"/>
        </w:rPr>
        <w:t>9</w:t>
      </w:r>
    </w:p>
    <w:p w:rsidR="00EA2B0B" w:rsidRPr="008C68F0" w:rsidRDefault="00AE1163" w:rsidP="00FF4EE4">
      <w:pPr>
        <w:pStyle w:val="Heading1"/>
      </w:pPr>
      <w:r w:rsidRPr="008C68F0">
        <w:t>Background</w:t>
      </w:r>
    </w:p>
    <w:p w:rsidR="00A96EC9" w:rsidRDefault="00B53F8C" w:rsidP="005731E8">
      <w:r w:rsidRPr="008C68F0">
        <w:t>201</w:t>
      </w:r>
      <w:r w:rsidR="00A96EC9">
        <w:t>8</w:t>
      </w:r>
      <w:r w:rsidRPr="008C68F0">
        <w:t>-1</w:t>
      </w:r>
      <w:r w:rsidR="00A96EC9">
        <w:t>9</w:t>
      </w:r>
      <w:r w:rsidRPr="008C68F0">
        <w:t xml:space="preserve"> represents the </w:t>
      </w:r>
      <w:r w:rsidR="00A96EC9">
        <w:t>fourth and final</w:t>
      </w:r>
      <w:r w:rsidRPr="008C68F0">
        <w:t xml:space="preserve"> year of </w:t>
      </w:r>
      <w:r w:rsidR="00A47FBA" w:rsidRPr="008C68F0">
        <w:t>a</w:t>
      </w:r>
      <w:r w:rsidRPr="008C68F0">
        <w:t xml:space="preserve"> </w:t>
      </w:r>
      <w:r w:rsidR="005731E8" w:rsidRPr="008C68F0">
        <w:t xml:space="preserve">Faculty </w:t>
      </w:r>
      <w:r w:rsidRPr="008C68F0">
        <w:t>observation scheme</w:t>
      </w:r>
      <w:r w:rsidR="009A398F" w:rsidRPr="008C68F0">
        <w:t xml:space="preserve"> that follows the</w:t>
      </w:r>
      <w:r w:rsidR="00D8738F" w:rsidRPr="008C68F0">
        <w:t xml:space="preserve"> University’s most recent</w:t>
      </w:r>
      <w:r w:rsidR="00BB085E" w:rsidRPr="008C68F0">
        <w:t xml:space="preserve"> </w:t>
      </w:r>
      <w:hyperlink r:id="rId8" w:history="1">
        <w:r w:rsidR="00BB085E" w:rsidRPr="008C68F0">
          <w:rPr>
            <w:rStyle w:val="Hyperlink"/>
          </w:rPr>
          <w:t>Learning and Teaching Framework</w:t>
        </w:r>
      </w:hyperlink>
      <w:r w:rsidRPr="008C68F0">
        <w:t>.</w:t>
      </w:r>
      <w:r w:rsidR="005731E8" w:rsidRPr="008C68F0">
        <w:t xml:space="preserve"> </w:t>
      </w:r>
      <w:r w:rsidR="00A96EC9">
        <w:t>As in previous years, Faculty Form A is used by the observer and observee to record outcomes of the observation and associate</w:t>
      </w:r>
      <w:r w:rsidR="00B92458">
        <w:t>d</w:t>
      </w:r>
      <w:r w:rsidR="00A96EC9">
        <w:t xml:space="preserve"> discussions. Form B is used to </w:t>
      </w:r>
      <w:r w:rsidR="00B92458">
        <w:t>notify</w:t>
      </w:r>
      <w:r w:rsidR="00A96EC9">
        <w:t xml:space="preserve"> the ADE of </w:t>
      </w:r>
      <w:r w:rsidR="00B92458">
        <w:t>any issues with accommodation and to record observed</w:t>
      </w:r>
      <w:r w:rsidR="00A96EC9">
        <w:t xml:space="preserve"> good practices</w:t>
      </w:r>
      <w:r w:rsidR="00B92458">
        <w:t xml:space="preserve"> for dissemination</w:t>
      </w:r>
      <w:r w:rsidR="00A96EC9">
        <w:t>.</w:t>
      </w:r>
    </w:p>
    <w:p w:rsidR="00A96EC9" w:rsidRPr="008C68F0" w:rsidRDefault="00D42B77" w:rsidP="00A96EC9">
      <w:pPr>
        <w:spacing w:after="0"/>
        <w:rPr>
          <w:rFonts w:cstheme="minorHAnsi"/>
          <w:b/>
        </w:rPr>
      </w:pPr>
      <w:r w:rsidRPr="008C68F0">
        <w:t xml:space="preserve">At the start of </w:t>
      </w:r>
      <w:r w:rsidR="00A96EC9">
        <w:t>the</w:t>
      </w:r>
      <w:r w:rsidRPr="008C68F0">
        <w:t xml:space="preserve"> year, </w:t>
      </w:r>
      <w:r w:rsidR="007F6372" w:rsidRPr="008C68F0">
        <w:t xml:space="preserve">School </w:t>
      </w:r>
      <w:r w:rsidR="00695C8A" w:rsidRPr="008C68F0">
        <w:t xml:space="preserve">Directors </w:t>
      </w:r>
      <w:r w:rsidR="00134329" w:rsidRPr="008C68F0">
        <w:t>or nominees were</w:t>
      </w:r>
      <w:r w:rsidR="00695C8A" w:rsidRPr="008C68F0">
        <w:t xml:space="preserve"> invited to </w:t>
      </w:r>
      <w:r w:rsidR="006131D5" w:rsidRPr="008C68F0">
        <w:t>allocate</w:t>
      </w:r>
      <w:r w:rsidR="00D8738F" w:rsidRPr="008C68F0">
        <w:t xml:space="preserve"> observation pairs, the ADE identifying those staff due to take observer or observee roles based on the scheme’s biennial cycle</w:t>
      </w:r>
      <w:r w:rsidR="00695C8A" w:rsidRPr="008C68F0">
        <w:t xml:space="preserve">. </w:t>
      </w:r>
      <w:r w:rsidRPr="008C68F0">
        <w:t xml:space="preserve"> </w:t>
      </w:r>
      <w:r w:rsidR="00695C8A" w:rsidRPr="008C68F0">
        <w:t xml:space="preserve">Any observations that did not take place in the preceding year </w:t>
      </w:r>
      <w:r w:rsidR="00134329" w:rsidRPr="008C68F0">
        <w:t>were</w:t>
      </w:r>
      <w:r w:rsidR="00695C8A" w:rsidRPr="008C68F0">
        <w:t xml:space="preserve"> rolled-over into </w:t>
      </w:r>
      <w:r w:rsidR="00134329" w:rsidRPr="008C68F0">
        <w:t xml:space="preserve">the current year if both </w:t>
      </w:r>
      <w:r w:rsidR="00695C8A" w:rsidRPr="008C68F0">
        <w:t>observer and observee remain</w:t>
      </w:r>
      <w:r w:rsidR="009A398F" w:rsidRPr="008C68F0">
        <w:t>ed</w:t>
      </w:r>
      <w:r w:rsidR="00695C8A" w:rsidRPr="008C68F0">
        <w:t xml:space="preserve"> eligible.</w:t>
      </w:r>
      <w:r w:rsidR="009A398F" w:rsidRPr="008C68F0">
        <w:t xml:space="preserve"> Observers were emailed in September/October with </w:t>
      </w:r>
      <w:r w:rsidR="00A96EC9">
        <w:t xml:space="preserve">the identity of </w:t>
      </w:r>
      <w:r w:rsidR="009A398F" w:rsidRPr="008C68F0">
        <w:t>th</w:t>
      </w:r>
      <w:r w:rsidR="00D310E3" w:rsidRPr="008C68F0">
        <w:t>eir observation partner</w:t>
      </w:r>
      <w:r w:rsidR="00A96EC9">
        <w:t>.</w:t>
      </w:r>
    </w:p>
    <w:p w:rsidR="00AE1163" w:rsidRPr="008C68F0" w:rsidRDefault="00AE1163" w:rsidP="00FF4EE4">
      <w:pPr>
        <w:pStyle w:val="Heading1"/>
      </w:pPr>
      <w:r w:rsidRPr="008C68F0">
        <w:t>Summary</w:t>
      </w:r>
      <w:r w:rsidR="00BB085E" w:rsidRPr="008C68F0">
        <w:t xml:space="preserve"> for 201</w:t>
      </w:r>
      <w:r w:rsidR="00715578">
        <w:t>8</w:t>
      </w:r>
      <w:r w:rsidR="00BB085E" w:rsidRPr="008C68F0">
        <w:t>/1</w:t>
      </w:r>
      <w:r w:rsidR="00715578">
        <w:t>9</w:t>
      </w:r>
    </w:p>
    <w:tbl>
      <w:tblPr>
        <w:tblW w:w="8793" w:type="dxa"/>
        <w:tblLook w:val="04A0" w:firstRow="1" w:lastRow="0" w:firstColumn="1" w:lastColumn="0" w:noHBand="0" w:noVBand="1"/>
      </w:tblPr>
      <w:tblGrid>
        <w:gridCol w:w="573"/>
        <w:gridCol w:w="1644"/>
        <w:gridCol w:w="1644"/>
        <w:gridCol w:w="1644"/>
        <w:gridCol w:w="1644"/>
        <w:gridCol w:w="1644"/>
      </w:tblGrid>
      <w:tr w:rsidR="00134329" w:rsidRPr="008C68F0" w:rsidTr="00134329">
        <w:trPr>
          <w:trHeight w:val="960"/>
        </w:trPr>
        <w:tc>
          <w:tcPr>
            <w:tcW w:w="5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4329" w:rsidRPr="008C68F0" w:rsidRDefault="00134329" w:rsidP="00A96EC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 </w:t>
            </w:r>
          </w:p>
        </w:tc>
        <w:tc>
          <w:tcPr>
            <w:tcW w:w="1644" w:type="dxa"/>
            <w:tcBorders>
              <w:top w:val="single" w:sz="8" w:space="0" w:color="auto"/>
              <w:left w:val="nil"/>
              <w:bottom w:val="single" w:sz="8" w:space="0" w:color="auto"/>
              <w:right w:val="single" w:sz="8" w:space="0" w:color="auto"/>
            </w:tcBorders>
            <w:shd w:val="clear" w:color="auto" w:fill="auto"/>
            <w:vAlign w:val="center"/>
            <w:hideMark/>
          </w:tcPr>
          <w:p w:rsidR="00134329" w:rsidRPr="008C68F0" w:rsidRDefault="00134329" w:rsidP="00A96EC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Faculty-scheduled observation*</w:t>
            </w:r>
          </w:p>
        </w:tc>
        <w:tc>
          <w:tcPr>
            <w:tcW w:w="1644" w:type="dxa"/>
            <w:tcBorders>
              <w:top w:val="single" w:sz="8" w:space="0" w:color="auto"/>
              <w:left w:val="nil"/>
              <w:bottom w:val="single" w:sz="8" w:space="0" w:color="auto"/>
              <w:right w:val="single" w:sz="8" w:space="0" w:color="auto"/>
            </w:tcBorders>
            <w:shd w:val="clear" w:color="auto" w:fill="auto"/>
            <w:vAlign w:val="center"/>
            <w:hideMark/>
          </w:tcPr>
          <w:p w:rsidR="00134329" w:rsidRPr="008C68F0" w:rsidRDefault="00134329" w:rsidP="00A96EC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PGCert- scheduled observation</w:t>
            </w:r>
          </w:p>
        </w:tc>
        <w:tc>
          <w:tcPr>
            <w:tcW w:w="1644" w:type="dxa"/>
            <w:tcBorders>
              <w:top w:val="single" w:sz="8" w:space="0" w:color="auto"/>
              <w:left w:val="nil"/>
              <w:bottom w:val="single" w:sz="8" w:space="0" w:color="auto"/>
              <w:right w:val="single" w:sz="8" w:space="0" w:color="auto"/>
            </w:tcBorders>
            <w:shd w:val="clear" w:color="auto" w:fill="auto"/>
            <w:vAlign w:val="center"/>
            <w:hideMark/>
          </w:tcPr>
          <w:p w:rsidR="00134329" w:rsidRPr="008C68F0" w:rsidRDefault="00134329" w:rsidP="00A96EC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Total scheduled observations</w:t>
            </w:r>
          </w:p>
        </w:tc>
        <w:tc>
          <w:tcPr>
            <w:tcW w:w="1644" w:type="dxa"/>
            <w:tcBorders>
              <w:top w:val="single" w:sz="8" w:space="0" w:color="auto"/>
              <w:left w:val="nil"/>
              <w:bottom w:val="single" w:sz="8" w:space="0" w:color="auto"/>
              <w:right w:val="single" w:sz="8" w:space="0" w:color="auto"/>
            </w:tcBorders>
            <w:shd w:val="clear" w:color="auto" w:fill="auto"/>
            <w:vAlign w:val="center"/>
            <w:hideMark/>
          </w:tcPr>
          <w:p w:rsidR="00134329" w:rsidRPr="008C68F0" w:rsidRDefault="00134329" w:rsidP="00A96EC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Actual observations</w:t>
            </w:r>
          </w:p>
        </w:tc>
        <w:tc>
          <w:tcPr>
            <w:tcW w:w="1644" w:type="dxa"/>
            <w:tcBorders>
              <w:top w:val="single" w:sz="8" w:space="0" w:color="auto"/>
              <w:left w:val="nil"/>
              <w:bottom w:val="single" w:sz="8" w:space="0" w:color="auto"/>
              <w:right w:val="single" w:sz="8" w:space="0" w:color="auto"/>
            </w:tcBorders>
            <w:shd w:val="clear" w:color="auto" w:fill="auto"/>
            <w:vAlign w:val="center"/>
            <w:hideMark/>
          </w:tcPr>
          <w:p w:rsidR="00134329" w:rsidRPr="008C68F0" w:rsidRDefault="00A96EC9" w:rsidP="00A96EC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of Observations completed</w:t>
            </w:r>
          </w:p>
        </w:tc>
      </w:tr>
      <w:tr w:rsidR="00A96EC9" w:rsidRPr="008C68F0" w:rsidTr="00A96EC9">
        <w:trPr>
          <w:trHeight w:val="315"/>
        </w:trPr>
        <w:tc>
          <w:tcPr>
            <w:tcW w:w="573" w:type="dxa"/>
            <w:tcBorders>
              <w:top w:val="nil"/>
              <w:left w:val="single" w:sz="8" w:space="0" w:color="auto"/>
              <w:bottom w:val="single" w:sz="8" w:space="0" w:color="auto"/>
              <w:right w:val="single" w:sz="8" w:space="0" w:color="auto"/>
            </w:tcBorders>
            <w:shd w:val="clear" w:color="auto" w:fill="auto"/>
            <w:vAlign w:val="center"/>
            <w:hideMark/>
          </w:tcPr>
          <w:p w:rsidR="00A96EC9" w:rsidRPr="008C68F0" w:rsidRDefault="00A96EC9" w:rsidP="00A96EC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NSP</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39</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14</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53</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50</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94%</w:t>
            </w:r>
          </w:p>
        </w:tc>
      </w:tr>
      <w:tr w:rsidR="00A96EC9" w:rsidRPr="008C68F0" w:rsidTr="00A96EC9">
        <w:trPr>
          <w:trHeight w:val="315"/>
        </w:trPr>
        <w:tc>
          <w:tcPr>
            <w:tcW w:w="573" w:type="dxa"/>
            <w:tcBorders>
              <w:top w:val="nil"/>
              <w:left w:val="single" w:sz="8" w:space="0" w:color="auto"/>
              <w:bottom w:val="single" w:sz="8" w:space="0" w:color="auto"/>
              <w:right w:val="single" w:sz="8" w:space="0" w:color="auto"/>
            </w:tcBorders>
            <w:shd w:val="clear" w:color="auto" w:fill="auto"/>
            <w:vAlign w:val="center"/>
            <w:hideMark/>
          </w:tcPr>
          <w:p w:rsidR="00A96EC9" w:rsidRPr="008C68F0" w:rsidRDefault="00A96EC9" w:rsidP="00A96EC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PBS</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35</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1</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36</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34</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94%</w:t>
            </w:r>
          </w:p>
        </w:tc>
      </w:tr>
      <w:tr w:rsidR="00A96EC9" w:rsidRPr="008C68F0" w:rsidTr="00A96EC9">
        <w:trPr>
          <w:trHeight w:val="315"/>
        </w:trPr>
        <w:tc>
          <w:tcPr>
            <w:tcW w:w="573" w:type="dxa"/>
            <w:tcBorders>
              <w:top w:val="nil"/>
              <w:left w:val="single" w:sz="8" w:space="0" w:color="auto"/>
              <w:bottom w:val="single" w:sz="8" w:space="0" w:color="auto"/>
              <w:right w:val="single" w:sz="8" w:space="0" w:color="auto"/>
            </w:tcBorders>
            <w:shd w:val="clear" w:color="auto" w:fill="auto"/>
            <w:vAlign w:val="center"/>
            <w:hideMark/>
          </w:tcPr>
          <w:p w:rsidR="00A96EC9" w:rsidRPr="008C68F0" w:rsidRDefault="00A96EC9" w:rsidP="00A96EC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SPS</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27</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1</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28</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26</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93%</w:t>
            </w:r>
          </w:p>
        </w:tc>
      </w:tr>
      <w:tr w:rsidR="00A96EC9" w:rsidRPr="008C68F0" w:rsidTr="00A96EC9">
        <w:trPr>
          <w:trHeight w:val="315"/>
        </w:trPr>
        <w:tc>
          <w:tcPr>
            <w:tcW w:w="573" w:type="dxa"/>
            <w:tcBorders>
              <w:top w:val="nil"/>
              <w:left w:val="single" w:sz="8" w:space="0" w:color="auto"/>
              <w:bottom w:val="single" w:sz="8" w:space="0" w:color="auto"/>
              <w:right w:val="single" w:sz="8" w:space="0" w:color="auto"/>
            </w:tcBorders>
            <w:shd w:val="clear" w:color="auto" w:fill="auto"/>
            <w:vAlign w:val="center"/>
            <w:hideMark/>
          </w:tcPr>
          <w:p w:rsidR="00A96EC9" w:rsidRPr="008C68F0" w:rsidRDefault="00A96EC9" w:rsidP="00A96EC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SCS</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101</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16</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117</w:t>
            </w:r>
          </w:p>
        </w:tc>
        <w:tc>
          <w:tcPr>
            <w:tcW w:w="1644" w:type="dxa"/>
            <w:tcBorders>
              <w:top w:val="nil"/>
              <w:left w:val="nil"/>
              <w:bottom w:val="single" w:sz="8" w:space="0" w:color="auto"/>
              <w:right w:val="single" w:sz="8" w:space="0" w:color="auto"/>
            </w:tcBorders>
            <w:shd w:val="clear" w:color="auto" w:fill="auto"/>
            <w:vAlign w:val="center"/>
          </w:tcPr>
          <w:p w:rsidR="00A96EC9" w:rsidRPr="00E03698" w:rsidRDefault="00A96EC9" w:rsidP="00A96EC9">
            <w:pPr>
              <w:spacing w:after="0" w:line="240" w:lineRule="auto"/>
              <w:jc w:val="center"/>
            </w:pPr>
            <w:r w:rsidRPr="00E03698">
              <w:t>110</w:t>
            </w:r>
          </w:p>
        </w:tc>
        <w:tc>
          <w:tcPr>
            <w:tcW w:w="1644" w:type="dxa"/>
            <w:tcBorders>
              <w:top w:val="nil"/>
              <w:left w:val="nil"/>
              <w:bottom w:val="single" w:sz="8" w:space="0" w:color="auto"/>
              <w:right w:val="single" w:sz="8" w:space="0" w:color="auto"/>
            </w:tcBorders>
            <w:shd w:val="clear" w:color="auto" w:fill="auto"/>
            <w:vAlign w:val="center"/>
          </w:tcPr>
          <w:p w:rsidR="00A96EC9" w:rsidRDefault="00A96EC9" w:rsidP="00A96EC9">
            <w:pPr>
              <w:spacing w:after="0" w:line="240" w:lineRule="auto"/>
              <w:jc w:val="center"/>
            </w:pPr>
            <w:r w:rsidRPr="00E03698">
              <w:t>94%</w:t>
            </w:r>
          </w:p>
        </w:tc>
      </w:tr>
    </w:tbl>
    <w:p w:rsidR="00A96EC9" w:rsidRDefault="00134329" w:rsidP="00134329">
      <w:r w:rsidRPr="008C68F0">
        <w:t xml:space="preserve">*Includes </w:t>
      </w:r>
      <w:r w:rsidR="00A96EC9">
        <w:t>2</w:t>
      </w:r>
      <w:r w:rsidRPr="008C68F0">
        <w:t xml:space="preserve"> observations carried over from the previous year. </w:t>
      </w:r>
    </w:p>
    <w:p w:rsidR="00134329" w:rsidRPr="008C68F0" w:rsidRDefault="00A96EC9" w:rsidP="00134329">
      <w:r>
        <w:t>No</w:t>
      </w:r>
      <w:r w:rsidR="00134329" w:rsidRPr="008C68F0">
        <w:t xml:space="preserve"> </w:t>
      </w:r>
      <w:r>
        <w:t>S</w:t>
      </w:r>
      <w:r w:rsidR="00134329" w:rsidRPr="008C68F0">
        <w:t>chool</w:t>
      </w:r>
      <w:r>
        <w:t>s</w:t>
      </w:r>
      <w:r w:rsidR="00134329" w:rsidRPr="008C68F0">
        <w:t xml:space="preserve"> attained the Faculty LTA plan target of 100% </w:t>
      </w:r>
      <w:r>
        <w:t>but</w:t>
      </w:r>
      <w:r w:rsidR="00134329" w:rsidRPr="008C68F0">
        <w:t xml:space="preserve"> t</w:t>
      </w:r>
      <w:r w:rsidR="00695C8A" w:rsidRPr="008C68F0">
        <w:t xml:space="preserve">he </w:t>
      </w:r>
      <w:r w:rsidR="00A44FE8" w:rsidRPr="008C68F0">
        <w:t xml:space="preserve">overall </w:t>
      </w:r>
      <w:r w:rsidR="00351FAD" w:rsidRPr="008C68F0">
        <w:t xml:space="preserve">annual </w:t>
      </w:r>
      <w:r w:rsidR="00A47FBA" w:rsidRPr="008C68F0">
        <w:t xml:space="preserve">Faculty </w:t>
      </w:r>
      <w:r w:rsidR="00134329" w:rsidRPr="008C68F0">
        <w:t xml:space="preserve">observation rate </w:t>
      </w:r>
      <w:r w:rsidR="00B92458">
        <w:t xml:space="preserve">remains in a strong position, </w:t>
      </w:r>
      <w:r>
        <w:t>being over 90% for a third consecutive year</w:t>
      </w:r>
      <w:r w:rsidR="00695C8A" w:rsidRPr="008C68F0">
        <w:t xml:space="preserve">. </w:t>
      </w:r>
      <w:r w:rsidR="007F6372" w:rsidRPr="008C68F0">
        <w:t xml:space="preserve"> </w:t>
      </w:r>
      <w:r>
        <w:t>As previously</w:t>
      </w:r>
      <w:r w:rsidR="00A42DA1" w:rsidRPr="008C68F0">
        <w:t>, the involvement of Directors and Subject Leaders was critical in following-up observations w</w:t>
      </w:r>
      <w:r w:rsidR="009A398F" w:rsidRPr="008C68F0">
        <w:t>h</w:t>
      </w:r>
      <w:r w:rsidR="00A42DA1" w:rsidRPr="008C68F0">
        <w:t xml:space="preserve">ere no scheduled date for the activity had been recorded </w:t>
      </w:r>
      <w:r w:rsidR="00A47FBA" w:rsidRPr="008C68F0">
        <w:t>with</w:t>
      </w:r>
      <w:r w:rsidR="00A42DA1" w:rsidRPr="008C68F0">
        <w:t>in the Faculty’s online declaration tool</w:t>
      </w:r>
      <w:r w:rsidR="00B92458">
        <w:t>, deployed during Semester 2</w:t>
      </w:r>
      <w:r>
        <w:t xml:space="preserve"> </w:t>
      </w:r>
      <w:r w:rsidR="00B92458">
        <w:t>after last year’s success</w:t>
      </w:r>
      <w:r w:rsidR="00A42DA1" w:rsidRPr="008C68F0">
        <w:t xml:space="preserve">. </w:t>
      </w:r>
    </w:p>
    <w:p w:rsidR="00284E81" w:rsidRPr="008C68F0" w:rsidRDefault="002731ED" w:rsidP="002731ED">
      <w:r w:rsidRPr="008C68F0">
        <w:t xml:space="preserve">Comments from </w:t>
      </w:r>
      <w:r w:rsidR="00D42B77" w:rsidRPr="008C68F0">
        <w:t xml:space="preserve">the </w:t>
      </w:r>
      <w:r w:rsidR="00A96EC9">
        <w:t>14</w:t>
      </w:r>
      <w:r w:rsidRPr="008C68F0">
        <w:t xml:space="preserve"> </w:t>
      </w:r>
      <w:r w:rsidR="00D42B77" w:rsidRPr="008C68F0">
        <w:t xml:space="preserve">Faculty </w:t>
      </w:r>
      <w:r w:rsidRPr="008C68F0">
        <w:t>PG</w:t>
      </w:r>
      <w:r w:rsidR="002B4DA6" w:rsidRPr="008C68F0">
        <w:t>C</w:t>
      </w:r>
      <w:r w:rsidRPr="008C68F0">
        <w:t xml:space="preserve">ert observations remain confidential and are not considered here.  </w:t>
      </w:r>
      <w:r w:rsidR="00492CC7">
        <w:t>Nearly</w:t>
      </w:r>
      <w:r w:rsidR="00E502A8" w:rsidRPr="008C68F0">
        <w:t xml:space="preserve"> </w:t>
      </w:r>
      <w:r w:rsidR="0049693C">
        <w:t>7</w:t>
      </w:r>
      <w:r w:rsidR="00E502A8" w:rsidRPr="008C68F0">
        <w:t>,000</w:t>
      </w:r>
      <w:r w:rsidR="002318C8" w:rsidRPr="008C68F0">
        <w:rPr>
          <w:color w:val="FF0000"/>
        </w:rPr>
        <w:t xml:space="preserve"> </w:t>
      </w:r>
      <w:r w:rsidR="002318C8" w:rsidRPr="008C68F0">
        <w:t>words of c</w:t>
      </w:r>
      <w:r w:rsidR="00284E81" w:rsidRPr="008C68F0">
        <w:t xml:space="preserve">omments </w:t>
      </w:r>
      <w:r w:rsidR="002318C8" w:rsidRPr="008C68F0">
        <w:t xml:space="preserve">have been </w:t>
      </w:r>
      <w:r w:rsidR="00284E81" w:rsidRPr="008C68F0">
        <w:t>c</w:t>
      </w:r>
      <w:r w:rsidR="00D5467A" w:rsidRPr="008C68F0">
        <w:t xml:space="preserve">ollated from </w:t>
      </w:r>
      <w:r w:rsidR="00D3049F" w:rsidRPr="008C68F0">
        <w:t>10</w:t>
      </w:r>
      <w:r w:rsidR="00A96EC9">
        <w:t>1</w:t>
      </w:r>
      <w:r w:rsidRPr="008C68F0">
        <w:t xml:space="preserve"> Faculty observation </w:t>
      </w:r>
      <w:r w:rsidR="00D5467A" w:rsidRPr="008C68F0">
        <w:t>form</w:t>
      </w:r>
      <w:r w:rsidRPr="008C68F0">
        <w:t>s</w:t>
      </w:r>
      <w:r w:rsidR="008B0F53" w:rsidRPr="008C68F0">
        <w:t>.</w:t>
      </w:r>
    </w:p>
    <w:p w:rsidR="00E06484" w:rsidRPr="008C68F0" w:rsidRDefault="00192EAD" w:rsidP="0017198E">
      <w:pPr>
        <w:pStyle w:val="Heading2"/>
      </w:pPr>
      <w:r w:rsidRPr="008C68F0">
        <w:t>Issues beyond control of observe</w:t>
      </w:r>
      <w:r w:rsidR="00D02C4F" w:rsidRPr="008C68F0">
        <w:t>e</w:t>
      </w:r>
      <w:r w:rsidR="008C78CE" w:rsidRPr="008C68F0">
        <w:t xml:space="preserve"> </w:t>
      </w:r>
    </w:p>
    <w:p w:rsidR="00DB2E9E" w:rsidRDefault="00A47FBA" w:rsidP="00DB2E9E">
      <w:pPr>
        <w:spacing w:before="40" w:after="40"/>
      </w:pPr>
      <w:r w:rsidRPr="008C68F0">
        <w:t xml:space="preserve">The full set of issues are listed in the </w:t>
      </w:r>
      <w:hyperlink r:id="rId9" w:history="1">
        <w:r w:rsidRPr="008C68F0">
          <w:rPr>
            <w:rStyle w:val="Hyperlink"/>
          </w:rPr>
          <w:t>Appendices</w:t>
        </w:r>
      </w:hyperlink>
      <w:r w:rsidR="006131D5" w:rsidRPr="008C68F0">
        <w:t xml:space="preserve"> a</w:t>
      </w:r>
      <w:r w:rsidRPr="008C68F0">
        <w:t>nd are a</w:t>
      </w:r>
      <w:r w:rsidR="006131D5" w:rsidRPr="008C68F0">
        <w:t>ssigned to</w:t>
      </w:r>
      <w:r w:rsidR="007F6372" w:rsidRPr="008C68F0">
        <w:t xml:space="preserve"> </w:t>
      </w:r>
      <w:r w:rsidR="00957E35">
        <w:t>five</w:t>
      </w:r>
      <w:r w:rsidR="006131D5" w:rsidRPr="008C68F0">
        <w:t xml:space="preserve"> identified</w:t>
      </w:r>
      <w:r w:rsidR="007F6372" w:rsidRPr="008C68F0">
        <w:t xml:space="preserve"> themes</w:t>
      </w:r>
      <w:r w:rsidRPr="008C68F0">
        <w:t>,</w:t>
      </w:r>
      <w:r w:rsidR="007F6372" w:rsidRPr="008C68F0">
        <w:t xml:space="preserve"> the proportion of sessions reporting an issue </w:t>
      </w:r>
      <w:r w:rsidRPr="008C68F0">
        <w:t>being</w:t>
      </w:r>
      <w:r w:rsidR="007F6372" w:rsidRPr="008C68F0">
        <w:t xml:space="preserve"> shown</w:t>
      </w:r>
      <w:r w:rsidRPr="008C68F0">
        <w:t xml:space="preserve"> below</w:t>
      </w:r>
      <w:r w:rsidR="007F6372" w:rsidRPr="008C68F0">
        <w:t xml:space="preserve"> (with last year’s figure in brackets).  </w:t>
      </w:r>
      <w:r w:rsidR="00DB2E9E">
        <w:t>Issues were reported in 27% of sessions, half that in the previous academic year.</w:t>
      </w:r>
      <w:r w:rsidR="007F6372" w:rsidRPr="008C68F0">
        <w:t xml:space="preserve"> </w:t>
      </w:r>
      <w:r w:rsidR="00DB2E9E">
        <w:t xml:space="preserve">It is apparent that upgrades to Marybone have contributed to this outcome. </w:t>
      </w:r>
    </w:p>
    <w:p w:rsidR="00E06484" w:rsidRPr="008C68F0" w:rsidRDefault="00E06484" w:rsidP="00DB2E9E">
      <w:pPr>
        <w:pStyle w:val="ListParagraph"/>
        <w:numPr>
          <w:ilvl w:val="0"/>
          <w:numId w:val="5"/>
        </w:numPr>
        <w:spacing w:before="40" w:after="40"/>
        <w:ind w:left="357" w:hanging="357"/>
      </w:pPr>
      <w:r w:rsidRPr="008C68F0">
        <w:t>Noise</w:t>
      </w:r>
      <w:r w:rsidR="007F6372" w:rsidRPr="008C68F0">
        <w:t>,</w:t>
      </w:r>
      <w:r w:rsidRPr="008C68F0">
        <w:t xml:space="preserve"> </w:t>
      </w:r>
      <w:r w:rsidR="00DB2E9E">
        <w:t>2</w:t>
      </w:r>
      <w:r w:rsidR="007F6372" w:rsidRPr="008C68F0">
        <w:t xml:space="preserve">% </w:t>
      </w:r>
      <w:r w:rsidRPr="008C68F0">
        <w:t>(</w:t>
      </w:r>
      <w:r w:rsidR="000B22C6" w:rsidRPr="008C68F0">
        <w:t>5</w:t>
      </w:r>
      <w:r w:rsidRPr="008C68F0">
        <w:t>%): Reported to Estates</w:t>
      </w:r>
    </w:p>
    <w:p w:rsidR="007F6372" w:rsidRPr="008C68F0" w:rsidRDefault="007F6372" w:rsidP="007F6372">
      <w:pPr>
        <w:spacing w:before="40" w:after="40"/>
        <w:rPr>
          <w:i/>
        </w:rPr>
      </w:pPr>
      <w:r w:rsidRPr="008C68F0">
        <w:t xml:space="preserve">e.g. </w:t>
      </w:r>
      <w:r w:rsidR="00DB2E9E" w:rsidRPr="00DB2E9E">
        <w:t xml:space="preserve">HC/119: </w:t>
      </w:r>
      <w:r w:rsidR="00DB2E9E">
        <w:rPr>
          <w:i/>
        </w:rPr>
        <w:t>“</w:t>
      </w:r>
      <w:r w:rsidR="00DB2E9E" w:rsidRPr="00DB2E9E">
        <w:rPr>
          <w:i/>
        </w:rPr>
        <w:t>The air conditioning was also quite loud, which I think made listening at the back of the room challenging at times.”</w:t>
      </w:r>
    </w:p>
    <w:p w:rsidR="000B22C6" w:rsidRPr="008C68F0" w:rsidRDefault="000B22C6" w:rsidP="000B22C6">
      <w:pPr>
        <w:pStyle w:val="ListParagraph"/>
        <w:numPr>
          <w:ilvl w:val="0"/>
          <w:numId w:val="2"/>
        </w:numPr>
        <w:spacing w:before="40" w:after="40"/>
        <w:ind w:left="360"/>
      </w:pPr>
      <w:r w:rsidRPr="008C68F0">
        <w:t xml:space="preserve">Lighting, </w:t>
      </w:r>
      <w:r w:rsidR="00DB2E9E">
        <w:t>1</w:t>
      </w:r>
      <w:r w:rsidRPr="008C68F0">
        <w:t>% (</w:t>
      </w:r>
      <w:r w:rsidR="00DB2E9E">
        <w:t>2</w:t>
      </w:r>
      <w:r w:rsidRPr="008C68F0">
        <w:t>%): Reported to Estates</w:t>
      </w:r>
    </w:p>
    <w:p w:rsidR="000B22C6" w:rsidRPr="00DB2E9E" w:rsidRDefault="000B22C6" w:rsidP="000B22C6">
      <w:pPr>
        <w:spacing w:before="40" w:after="40"/>
        <w:rPr>
          <w:i/>
        </w:rPr>
      </w:pPr>
      <w:r w:rsidRPr="008C68F0">
        <w:t xml:space="preserve">e.g. </w:t>
      </w:r>
      <w:r w:rsidR="00DB2E9E" w:rsidRPr="00DB2E9E">
        <w:t xml:space="preserve">Marybone: </w:t>
      </w:r>
      <w:r w:rsidR="00DB2E9E" w:rsidRPr="00DB2E9E">
        <w:rPr>
          <w:i/>
        </w:rPr>
        <w:t>“would benefit from a brighter lighting option between scheme 2 and all lights being on.”</w:t>
      </w:r>
    </w:p>
    <w:p w:rsidR="00E06484" w:rsidRPr="008C68F0" w:rsidRDefault="00E06484" w:rsidP="003E4115">
      <w:pPr>
        <w:pStyle w:val="ListParagraph"/>
        <w:numPr>
          <w:ilvl w:val="0"/>
          <w:numId w:val="2"/>
        </w:numPr>
        <w:spacing w:before="40" w:after="40"/>
        <w:ind w:left="360"/>
      </w:pPr>
      <w:r w:rsidRPr="008C68F0">
        <w:lastRenderedPageBreak/>
        <w:t>Classroom design</w:t>
      </w:r>
      <w:r w:rsidR="007F6372" w:rsidRPr="008C68F0">
        <w:t>,</w:t>
      </w:r>
      <w:r w:rsidRPr="008C68F0">
        <w:t xml:space="preserve"> </w:t>
      </w:r>
      <w:r w:rsidR="006E548C">
        <w:t>6</w:t>
      </w:r>
      <w:r w:rsidR="007F6372" w:rsidRPr="008C68F0">
        <w:t xml:space="preserve">% </w:t>
      </w:r>
      <w:r w:rsidRPr="008C68F0">
        <w:t>(</w:t>
      </w:r>
      <w:r w:rsidR="006E548C">
        <w:t>12</w:t>
      </w:r>
      <w:r w:rsidRPr="008C68F0">
        <w:t xml:space="preserve">%): </w:t>
      </w:r>
      <w:r w:rsidR="00825C5A" w:rsidRPr="008C68F0">
        <w:t>Reported to Estates</w:t>
      </w:r>
    </w:p>
    <w:p w:rsidR="00186768" w:rsidRDefault="007F6372" w:rsidP="00186768">
      <w:pPr>
        <w:spacing w:before="40" w:after="40"/>
      </w:pPr>
      <w:r w:rsidRPr="008C68F0">
        <w:t>e.g.</w:t>
      </w:r>
      <w:r w:rsidR="00672D42" w:rsidRPr="008C68F0">
        <w:t xml:space="preserve"> </w:t>
      </w:r>
      <w:r w:rsidR="00186768" w:rsidRPr="00186768">
        <w:t xml:space="preserve">HC/123: </w:t>
      </w:r>
      <w:r w:rsidR="00186768">
        <w:t>“</w:t>
      </w:r>
      <w:r w:rsidR="00186768" w:rsidRPr="00186768">
        <w:t xml:space="preserve">This room is not suitable for large class teaching.  There are large concrete pillars that make it impossible to see all of the students when teaching.  The concrete pillars make it difficult to create a high quality experience for the students. </w:t>
      </w:r>
    </w:p>
    <w:p w:rsidR="00825C5A" w:rsidRPr="008C68F0" w:rsidRDefault="00825C5A" w:rsidP="00186768">
      <w:pPr>
        <w:pStyle w:val="ListParagraph"/>
        <w:numPr>
          <w:ilvl w:val="0"/>
          <w:numId w:val="2"/>
        </w:numPr>
        <w:spacing w:before="40" w:after="40"/>
        <w:ind w:left="357" w:hanging="357"/>
      </w:pPr>
      <w:r w:rsidRPr="008C68F0">
        <w:t>Temperature</w:t>
      </w:r>
      <w:r w:rsidR="007F6372" w:rsidRPr="008C68F0">
        <w:t>,</w:t>
      </w:r>
      <w:r w:rsidRPr="008C68F0">
        <w:t xml:space="preserve"> </w:t>
      </w:r>
      <w:r w:rsidR="006E548C">
        <w:t>8</w:t>
      </w:r>
      <w:r w:rsidR="007F6372" w:rsidRPr="008C68F0">
        <w:t xml:space="preserve">% </w:t>
      </w:r>
      <w:r w:rsidRPr="008C68F0">
        <w:t>(</w:t>
      </w:r>
      <w:r w:rsidR="00672D42" w:rsidRPr="008C68F0">
        <w:t>10</w:t>
      </w:r>
      <w:r w:rsidRPr="008C68F0">
        <w:t>%): Reported to Estates</w:t>
      </w:r>
    </w:p>
    <w:p w:rsidR="00672D42" w:rsidRPr="008C68F0" w:rsidRDefault="007F6372" w:rsidP="00672D42">
      <w:pPr>
        <w:rPr>
          <w:i/>
        </w:rPr>
      </w:pPr>
      <w:r w:rsidRPr="008C68F0">
        <w:t xml:space="preserve">e.g. </w:t>
      </w:r>
      <w:r w:rsidR="00672D42" w:rsidRPr="008C68F0">
        <w:t xml:space="preserve"> </w:t>
      </w:r>
      <w:r w:rsidR="006E548C" w:rsidRPr="006E548C">
        <w:t xml:space="preserve">BS/317: </w:t>
      </w:r>
      <w:r w:rsidR="006E548C" w:rsidRPr="006E548C">
        <w:rPr>
          <w:i/>
        </w:rPr>
        <w:t>“The room was quite cold.  X asked me to check the windows, but the windows were</w:t>
      </w:r>
      <w:r w:rsidR="006E548C">
        <w:rPr>
          <w:i/>
        </w:rPr>
        <w:t xml:space="preserve"> </w:t>
      </w:r>
      <w:r w:rsidR="006E548C" w:rsidRPr="006E548C">
        <w:rPr>
          <w:i/>
        </w:rPr>
        <w:t>closed.  It was not possible to turn on the radiator.</w:t>
      </w:r>
      <w:r w:rsidR="00672D42" w:rsidRPr="006E548C">
        <w:rPr>
          <w:i/>
        </w:rPr>
        <w:t>”</w:t>
      </w:r>
    </w:p>
    <w:p w:rsidR="00825C5A" w:rsidRPr="008C68F0" w:rsidRDefault="00825C5A" w:rsidP="00D67305">
      <w:pPr>
        <w:pStyle w:val="ListParagraph"/>
        <w:numPr>
          <w:ilvl w:val="0"/>
          <w:numId w:val="2"/>
        </w:numPr>
        <w:spacing w:before="40" w:after="40"/>
        <w:ind w:left="357" w:hanging="357"/>
      </w:pPr>
      <w:r w:rsidRPr="008C68F0">
        <w:t xml:space="preserve">Classroom AV and fittings </w:t>
      </w:r>
      <w:r w:rsidR="00D67305" w:rsidRPr="008C68F0">
        <w:t>1</w:t>
      </w:r>
      <w:r w:rsidR="003A404E" w:rsidRPr="008C68F0">
        <w:t>0</w:t>
      </w:r>
      <w:r w:rsidR="00D67305" w:rsidRPr="008C68F0">
        <w:t xml:space="preserve">%, </w:t>
      </w:r>
      <w:r w:rsidRPr="008C68F0">
        <w:t>(1</w:t>
      </w:r>
      <w:r w:rsidR="006E548C">
        <w:t>0</w:t>
      </w:r>
      <w:r w:rsidRPr="008C68F0">
        <w:t>%): Reported to Byrom-AV</w:t>
      </w:r>
    </w:p>
    <w:p w:rsidR="006E548C" w:rsidRDefault="00D67305" w:rsidP="006E548C">
      <w:pPr>
        <w:spacing w:before="40" w:after="40"/>
      </w:pPr>
      <w:r w:rsidRPr="008C68F0">
        <w:t xml:space="preserve">e.g. </w:t>
      </w:r>
      <w:r w:rsidR="006E548C" w:rsidRPr="006E548C">
        <w:t xml:space="preserve">BS/322: </w:t>
      </w:r>
      <w:r w:rsidR="006E548C">
        <w:t>“</w:t>
      </w:r>
      <w:r w:rsidR="006E548C" w:rsidRPr="006E548C">
        <w:t>The slides looked bit dark, this could have been due to the projector, for example lamp near to the end of life.</w:t>
      </w:r>
      <w:r w:rsidR="006E548C">
        <w:t>”</w:t>
      </w:r>
    </w:p>
    <w:p w:rsidR="00825C5A" w:rsidRPr="008C68F0" w:rsidRDefault="00CE4F07" w:rsidP="006E548C">
      <w:pPr>
        <w:pStyle w:val="Heading1"/>
      </w:pPr>
      <w:r w:rsidRPr="008C68F0">
        <w:t>Dissemination</w:t>
      </w:r>
      <w:r w:rsidR="004C33E4" w:rsidRPr="008C68F0">
        <w:t xml:space="preserve"> of </w:t>
      </w:r>
      <w:r w:rsidRPr="008C68F0">
        <w:t xml:space="preserve">observed </w:t>
      </w:r>
      <w:r w:rsidR="004C33E4" w:rsidRPr="008C68F0">
        <w:t>good practice</w:t>
      </w:r>
      <w:r w:rsidRPr="008C68F0">
        <w:t>s</w:t>
      </w:r>
      <w:r w:rsidR="004C33E4" w:rsidRPr="008C68F0">
        <w:t xml:space="preserve"> </w:t>
      </w:r>
    </w:p>
    <w:p w:rsidR="00621ADF" w:rsidRPr="008C68F0" w:rsidRDefault="001F3E83" w:rsidP="00621ADF">
      <w:r w:rsidRPr="008C68F0">
        <w:t xml:space="preserve">These were reported in </w:t>
      </w:r>
      <w:r w:rsidR="00CE4F07" w:rsidRPr="008C68F0">
        <w:t>93</w:t>
      </w:r>
      <w:r w:rsidR="00E4162A" w:rsidRPr="008C68F0">
        <w:t xml:space="preserve">% </w:t>
      </w:r>
      <w:r w:rsidR="00AD2F33" w:rsidRPr="008C68F0">
        <w:t>(</w:t>
      </w:r>
      <w:r w:rsidR="0049693C">
        <w:t>93</w:t>
      </w:r>
      <w:r w:rsidRPr="008C68F0">
        <w:t>%</w:t>
      </w:r>
      <w:r w:rsidR="00AD2F33" w:rsidRPr="008C68F0">
        <w:t>)</w:t>
      </w:r>
      <w:r w:rsidRPr="008C68F0">
        <w:t xml:space="preserve"> of sessions and </w:t>
      </w:r>
      <w:r w:rsidR="00C249CB" w:rsidRPr="008C68F0">
        <w:t xml:space="preserve">the full set of comments </w:t>
      </w:r>
      <w:r w:rsidR="0049693C">
        <w:t>has been</w:t>
      </w:r>
      <w:r w:rsidR="00C249CB" w:rsidRPr="008C68F0">
        <w:t xml:space="preserve"> redacted </w:t>
      </w:r>
      <w:r w:rsidR="0049693C">
        <w:t>and will be shared with programme team</w:t>
      </w:r>
      <w:r w:rsidR="00715578">
        <w:t>s for consideration at the first meeting of 2019/20</w:t>
      </w:r>
      <w:r w:rsidR="00C249CB" w:rsidRPr="008C68F0">
        <w:t xml:space="preserve">. </w:t>
      </w:r>
      <w:r w:rsidR="0049693C">
        <w:t>R</w:t>
      </w:r>
      <w:r w:rsidR="00A47FBA" w:rsidRPr="008C68F0">
        <w:t xml:space="preserve">edacted comments </w:t>
      </w:r>
      <w:r w:rsidR="0049693C">
        <w:t>are in the</w:t>
      </w:r>
      <w:r w:rsidR="00A47FBA" w:rsidRPr="008C68F0">
        <w:t xml:space="preserve"> </w:t>
      </w:r>
      <w:hyperlink r:id="rId10" w:history="1">
        <w:r w:rsidR="00A47FBA" w:rsidRPr="008C68F0">
          <w:rPr>
            <w:rStyle w:val="Hyperlink"/>
          </w:rPr>
          <w:t>Appen</w:t>
        </w:r>
        <w:bookmarkStart w:id="0" w:name="_GoBack"/>
        <w:bookmarkEnd w:id="0"/>
        <w:r w:rsidR="00A47FBA" w:rsidRPr="008C68F0">
          <w:rPr>
            <w:rStyle w:val="Hyperlink"/>
          </w:rPr>
          <w:t>d</w:t>
        </w:r>
        <w:r w:rsidR="00A47FBA" w:rsidRPr="008C68F0">
          <w:rPr>
            <w:rStyle w:val="Hyperlink"/>
          </w:rPr>
          <w:t>ices</w:t>
        </w:r>
      </w:hyperlink>
      <w:r w:rsidR="00A47FBA" w:rsidRPr="008C68F0">
        <w:t>.</w:t>
      </w:r>
    </w:p>
    <w:p w:rsidR="0049693C" w:rsidRDefault="0049693C" w:rsidP="007226AB">
      <w:pPr>
        <w:pStyle w:val="Heading2"/>
      </w:pPr>
    </w:p>
    <w:p w:rsidR="007226AB" w:rsidRPr="008C68F0" w:rsidRDefault="007226AB" w:rsidP="007226AB">
      <w:pPr>
        <w:pStyle w:val="Heading2"/>
      </w:pPr>
      <w:r w:rsidRPr="008C68F0">
        <w:t>Conclusion</w:t>
      </w:r>
    </w:p>
    <w:p w:rsidR="003E4115" w:rsidRPr="008C68F0" w:rsidRDefault="0017198E" w:rsidP="0083349D">
      <w:pPr>
        <w:spacing w:before="40" w:after="40"/>
      </w:pPr>
      <w:r w:rsidRPr="008C68F0">
        <w:t>The</w:t>
      </w:r>
      <w:r w:rsidR="00D310E3" w:rsidRPr="008C68F0">
        <w:t xml:space="preserve"> exceptionally-</w:t>
      </w:r>
      <w:r w:rsidR="007226AB" w:rsidRPr="008C68F0">
        <w:t>high participation rates and</w:t>
      </w:r>
      <w:r w:rsidRPr="008C68F0">
        <w:t xml:space="preserve"> </w:t>
      </w:r>
      <w:r w:rsidR="0083349D" w:rsidRPr="008C68F0">
        <w:t xml:space="preserve">volume of comments </w:t>
      </w:r>
      <w:r w:rsidR="00AD2F33" w:rsidRPr="008C68F0">
        <w:t>(</w:t>
      </w:r>
      <w:r w:rsidR="00CE4F07" w:rsidRPr="008C68F0">
        <w:t>~</w:t>
      </w:r>
      <w:r w:rsidR="0049693C">
        <w:t>7000</w:t>
      </w:r>
      <w:r w:rsidR="00AD2F33" w:rsidRPr="008C68F0">
        <w:t xml:space="preserve"> words) </w:t>
      </w:r>
      <w:r w:rsidR="0083349D" w:rsidRPr="008C68F0">
        <w:t>return</w:t>
      </w:r>
      <w:r w:rsidR="0035345F" w:rsidRPr="008C68F0">
        <w:t>ed</w:t>
      </w:r>
      <w:r w:rsidR="0083349D" w:rsidRPr="008C68F0">
        <w:t xml:space="preserve"> in Form B indicate that staff</w:t>
      </w:r>
      <w:r w:rsidR="00CE4F07" w:rsidRPr="008C68F0">
        <w:t xml:space="preserve"> </w:t>
      </w:r>
      <w:r w:rsidR="0083349D" w:rsidRPr="008C68F0">
        <w:t xml:space="preserve">engaged with the </w:t>
      </w:r>
      <w:r w:rsidR="00A4585A" w:rsidRPr="008C68F0">
        <w:t>scheme in 201</w:t>
      </w:r>
      <w:r w:rsidR="0049693C">
        <w:t>8</w:t>
      </w:r>
      <w:r w:rsidR="00A4585A" w:rsidRPr="008C68F0">
        <w:t>/1</w:t>
      </w:r>
      <w:r w:rsidR="0049693C">
        <w:t>9</w:t>
      </w:r>
      <w:r w:rsidR="0083349D" w:rsidRPr="008C68F0">
        <w:t>. This provides sufficient evidence to suggest that the principal objectives of the scheme, “To provide an opportunity for staff to reflect on their practice and to engage academic staff in self-reflection and critical discourse”</w:t>
      </w:r>
      <w:r w:rsidR="003F061E" w:rsidRPr="008C68F0">
        <w:t xml:space="preserve"> are being realised.</w:t>
      </w:r>
      <w:r w:rsidR="0035345F" w:rsidRPr="008C68F0">
        <w:t xml:space="preserve"> </w:t>
      </w:r>
      <w:r w:rsidR="0049693C">
        <w:t>The sharing of good practice comments with programme team meetings is new for 2019/20 and its efficacy will be considered at the June 2020 programme leader away day.</w:t>
      </w:r>
    </w:p>
    <w:p w:rsidR="006978E0" w:rsidRPr="008C68F0" w:rsidRDefault="006978E0" w:rsidP="003E4115">
      <w:pPr>
        <w:spacing w:before="40" w:after="40"/>
        <w:jc w:val="right"/>
        <w:rPr>
          <w:b/>
        </w:rPr>
      </w:pPr>
    </w:p>
    <w:p w:rsidR="006664CF" w:rsidRPr="008C68F0" w:rsidRDefault="006664CF" w:rsidP="003E4115">
      <w:pPr>
        <w:spacing w:before="40" w:after="40"/>
        <w:jc w:val="right"/>
        <w:rPr>
          <w:b/>
        </w:rPr>
      </w:pPr>
      <w:r w:rsidRPr="008C68F0">
        <w:rPr>
          <w:b/>
        </w:rPr>
        <w:t xml:space="preserve">Phil Denton, ADE, </w:t>
      </w:r>
      <w:r w:rsidR="0049693C">
        <w:rPr>
          <w:b/>
        </w:rPr>
        <w:t>9</w:t>
      </w:r>
      <w:r w:rsidRPr="008C68F0">
        <w:rPr>
          <w:b/>
        </w:rPr>
        <w:t>/</w:t>
      </w:r>
      <w:r w:rsidR="0049693C">
        <w:rPr>
          <w:b/>
        </w:rPr>
        <w:t>7</w:t>
      </w:r>
      <w:r w:rsidRPr="008C68F0">
        <w:rPr>
          <w:b/>
        </w:rPr>
        <w:t>/1</w:t>
      </w:r>
      <w:r w:rsidR="0049693C">
        <w:rPr>
          <w:b/>
        </w:rPr>
        <w:t>9</w:t>
      </w:r>
    </w:p>
    <w:sectPr w:rsidR="006664CF" w:rsidRPr="008C68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D37" w:rsidRDefault="007E5D37" w:rsidP="00851991">
      <w:r>
        <w:separator/>
      </w:r>
    </w:p>
  </w:endnote>
  <w:endnote w:type="continuationSeparator" w:id="0">
    <w:p w:rsidR="007E5D37" w:rsidRDefault="007E5D37" w:rsidP="0085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D37" w:rsidRDefault="007E5D37" w:rsidP="00851991">
      <w:r>
        <w:separator/>
      </w:r>
    </w:p>
  </w:footnote>
  <w:footnote w:type="continuationSeparator" w:id="0">
    <w:p w:rsidR="007E5D37" w:rsidRDefault="007E5D37" w:rsidP="00851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4EC"/>
    <w:multiLevelType w:val="hybridMultilevel"/>
    <w:tmpl w:val="545C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322B8"/>
    <w:multiLevelType w:val="hybridMultilevel"/>
    <w:tmpl w:val="4B08F692"/>
    <w:lvl w:ilvl="0" w:tplc="ECEA892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2D7708"/>
    <w:multiLevelType w:val="hybridMultilevel"/>
    <w:tmpl w:val="4030F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17AB8"/>
    <w:multiLevelType w:val="hybridMultilevel"/>
    <w:tmpl w:val="527A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768A9"/>
    <w:multiLevelType w:val="hybridMultilevel"/>
    <w:tmpl w:val="3D765A60"/>
    <w:lvl w:ilvl="0" w:tplc="F44EECF0">
      <w:start w:val="2015"/>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1F"/>
    <w:rsid w:val="00017CB3"/>
    <w:rsid w:val="0002253F"/>
    <w:rsid w:val="00043B8E"/>
    <w:rsid w:val="00046744"/>
    <w:rsid w:val="00061FE7"/>
    <w:rsid w:val="00066091"/>
    <w:rsid w:val="00096AC1"/>
    <w:rsid w:val="000B06B6"/>
    <w:rsid w:val="000B22C6"/>
    <w:rsid w:val="000D2624"/>
    <w:rsid w:val="000E615E"/>
    <w:rsid w:val="000F63B8"/>
    <w:rsid w:val="00113ABB"/>
    <w:rsid w:val="00127FF4"/>
    <w:rsid w:val="00134329"/>
    <w:rsid w:val="00157A45"/>
    <w:rsid w:val="00166904"/>
    <w:rsid w:val="0017198E"/>
    <w:rsid w:val="00172B88"/>
    <w:rsid w:val="00186768"/>
    <w:rsid w:val="00192EAD"/>
    <w:rsid w:val="001A0D48"/>
    <w:rsid w:val="001A13CB"/>
    <w:rsid w:val="001A663A"/>
    <w:rsid w:val="001B324B"/>
    <w:rsid w:val="001D1EA1"/>
    <w:rsid w:val="001F3E83"/>
    <w:rsid w:val="001F5436"/>
    <w:rsid w:val="00201E4B"/>
    <w:rsid w:val="00213948"/>
    <w:rsid w:val="00221F42"/>
    <w:rsid w:val="002238C6"/>
    <w:rsid w:val="002318C8"/>
    <w:rsid w:val="0026554E"/>
    <w:rsid w:val="002731ED"/>
    <w:rsid w:val="00284E81"/>
    <w:rsid w:val="002B4DA6"/>
    <w:rsid w:val="00305FF2"/>
    <w:rsid w:val="00316728"/>
    <w:rsid w:val="003301E7"/>
    <w:rsid w:val="003434D2"/>
    <w:rsid w:val="00351FAD"/>
    <w:rsid w:val="0035345F"/>
    <w:rsid w:val="003A404E"/>
    <w:rsid w:val="003B2FA5"/>
    <w:rsid w:val="003B5105"/>
    <w:rsid w:val="003B53BF"/>
    <w:rsid w:val="003C068C"/>
    <w:rsid w:val="003E4115"/>
    <w:rsid w:val="003F061E"/>
    <w:rsid w:val="003F5F2D"/>
    <w:rsid w:val="00407593"/>
    <w:rsid w:val="00415A21"/>
    <w:rsid w:val="0044297C"/>
    <w:rsid w:val="00445B04"/>
    <w:rsid w:val="00454BB5"/>
    <w:rsid w:val="00471BF4"/>
    <w:rsid w:val="00481301"/>
    <w:rsid w:val="00492CC7"/>
    <w:rsid w:val="0049693C"/>
    <w:rsid w:val="004A774C"/>
    <w:rsid w:val="004C33E4"/>
    <w:rsid w:val="00504508"/>
    <w:rsid w:val="005065DD"/>
    <w:rsid w:val="00507195"/>
    <w:rsid w:val="00520207"/>
    <w:rsid w:val="00541F71"/>
    <w:rsid w:val="00550B83"/>
    <w:rsid w:val="0055522D"/>
    <w:rsid w:val="00560A1E"/>
    <w:rsid w:val="005731E8"/>
    <w:rsid w:val="00574799"/>
    <w:rsid w:val="00587267"/>
    <w:rsid w:val="005B136A"/>
    <w:rsid w:val="005C0772"/>
    <w:rsid w:val="005C5AB7"/>
    <w:rsid w:val="005D4830"/>
    <w:rsid w:val="005D731D"/>
    <w:rsid w:val="005F5EF0"/>
    <w:rsid w:val="006131D5"/>
    <w:rsid w:val="00614C1F"/>
    <w:rsid w:val="00620417"/>
    <w:rsid w:val="00621ADF"/>
    <w:rsid w:val="00662BA7"/>
    <w:rsid w:val="00662CF4"/>
    <w:rsid w:val="006664CF"/>
    <w:rsid w:val="00672D42"/>
    <w:rsid w:val="00695C8A"/>
    <w:rsid w:val="006978E0"/>
    <w:rsid w:val="006A10C6"/>
    <w:rsid w:val="006B7803"/>
    <w:rsid w:val="006D2C65"/>
    <w:rsid w:val="006E548C"/>
    <w:rsid w:val="00701B14"/>
    <w:rsid w:val="00705966"/>
    <w:rsid w:val="00715578"/>
    <w:rsid w:val="007226AB"/>
    <w:rsid w:val="00761099"/>
    <w:rsid w:val="00772A15"/>
    <w:rsid w:val="007B771F"/>
    <w:rsid w:val="007D7B18"/>
    <w:rsid w:val="007E5D37"/>
    <w:rsid w:val="007F6372"/>
    <w:rsid w:val="00803089"/>
    <w:rsid w:val="00804C52"/>
    <w:rsid w:val="00825C5A"/>
    <w:rsid w:val="0083349D"/>
    <w:rsid w:val="00834AC7"/>
    <w:rsid w:val="00851991"/>
    <w:rsid w:val="00860E1F"/>
    <w:rsid w:val="008A78F6"/>
    <w:rsid w:val="008B0F53"/>
    <w:rsid w:val="008C54EA"/>
    <w:rsid w:val="008C68F0"/>
    <w:rsid w:val="008C78CE"/>
    <w:rsid w:val="008D1E90"/>
    <w:rsid w:val="008E435F"/>
    <w:rsid w:val="008F72F2"/>
    <w:rsid w:val="00903E2F"/>
    <w:rsid w:val="0091007F"/>
    <w:rsid w:val="00913967"/>
    <w:rsid w:val="00915FE5"/>
    <w:rsid w:val="00926018"/>
    <w:rsid w:val="009404E1"/>
    <w:rsid w:val="0095298B"/>
    <w:rsid w:val="00955B53"/>
    <w:rsid w:val="00957E35"/>
    <w:rsid w:val="009842B8"/>
    <w:rsid w:val="00984A6F"/>
    <w:rsid w:val="00990B95"/>
    <w:rsid w:val="00992DB0"/>
    <w:rsid w:val="009935B6"/>
    <w:rsid w:val="009A398F"/>
    <w:rsid w:val="009B024B"/>
    <w:rsid w:val="009B0631"/>
    <w:rsid w:val="009C08C4"/>
    <w:rsid w:val="009D007C"/>
    <w:rsid w:val="009D60A2"/>
    <w:rsid w:val="009D736D"/>
    <w:rsid w:val="00A27F7F"/>
    <w:rsid w:val="00A42DA1"/>
    <w:rsid w:val="00A44FE8"/>
    <w:rsid w:val="00A4585A"/>
    <w:rsid w:val="00A47A29"/>
    <w:rsid w:val="00A47FBA"/>
    <w:rsid w:val="00A625ED"/>
    <w:rsid w:val="00A92A46"/>
    <w:rsid w:val="00A96EC9"/>
    <w:rsid w:val="00AD2F33"/>
    <w:rsid w:val="00AE0234"/>
    <w:rsid w:val="00AE1163"/>
    <w:rsid w:val="00B1025D"/>
    <w:rsid w:val="00B20077"/>
    <w:rsid w:val="00B2086E"/>
    <w:rsid w:val="00B31748"/>
    <w:rsid w:val="00B53F8C"/>
    <w:rsid w:val="00B67D9C"/>
    <w:rsid w:val="00B725E4"/>
    <w:rsid w:val="00B83D4C"/>
    <w:rsid w:val="00B92458"/>
    <w:rsid w:val="00BA2C1A"/>
    <w:rsid w:val="00BA7B1A"/>
    <w:rsid w:val="00BB085E"/>
    <w:rsid w:val="00BB229A"/>
    <w:rsid w:val="00BC369F"/>
    <w:rsid w:val="00BF06A1"/>
    <w:rsid w:val="00BF10A3"/>
    <w:rsid w:val="00BF4481"/>
    <w:rsid w:val="00BF5B0A"/>
    <w:rsid w:val="00C0033B"/>
    <w:rsid w:val="00C10A1E"/>
    <w:rsid w:val="00C249CB"/>
    <w:rsid w:val="00C5730D"/>
    <w:rsid w:val="00C73E27"/>
    <w:rsid w:val="00C83C4F"/>
    <w:rsid w:val="00C85475"/>
    <w:rsid w:val="00C85BEC"/>
    <w:rsid w:val="00CA760A"/>
    <w:rsid w:val="00CE4F07"/>
    <w:rsid w:val="00CF3CC3"/>
    <w:rsid w:val="00D02C4F"/>
    <w:rsid w:val="00D269A8"/>
    <w:rsid w:val="00D272E5"/>
    <w:rsid w:val="00D3049F"/>
    <w:rsid w:val="00D310E3"/>
    <w:rsid w:val="00D42B77"/>
    <w:rsid w:val="00D44319"/>
    <w:rsid w:val="00D5467A"/>
    <w:rsid w:val="00D67305"/>
    <w:rsid w:val="00D8738F"/>
    <w:rsid w:val="00D9111F"/>
    <w:rsid w:val="00DA77B5"/>
    <w:rsid w:val="00DB2E9E"/>
    <w:rsid w:val="00DB3599"/>
    <w:rsid w:val="00DC266B"/>
    <w:rsid w:val="00DD7F1F"/>
    <w:rsid w:val="00DE0983"/>
    <w:rsid w:val="00DE238A"/>
    <w:rsid w:val="00DF6E32"/>
    <w:rsid w:val="00E06484"/>
    <w:rsid w:val="00E20863"/>
    <w:rsid w:val="00E23803"/>
    <w:rsid w:val="00E36BCB"/>
    <w:rsid w:val="00E4162A"/>
    <w:rsid w:val="00E42AC1"/>
    <w:rsid w:val="00E430D0"/>
    <w:rsid w:val="00E46027"/>
    <w:rsid w:val="00E46658"/>
    <w:rsid w:val="00E502A8"/>
    <w:rsid w:val="00E85C07"/>
    <w:rsid w:val="00E955AE"/>
    <w:rsid w:val="00EA2B0B"/>
    <w:rsid w:val="00EA5FDB"/>
    <w:rsid w:val="00EB61A1"/>
    <w:rsid w:val="00EC03D0"/>
    <w:rsid w:val="00EE4942"/>
    <w:rsid w:val="00F0169D"/>
    <w:rsid w:val="00F2041B"/>
    <w:rsid w:val="00F240FD"/>
    <w:rsid w:val="00F36CCB"/>
    <w:rsid w:val="00F7318D"/>
    <w:rsid w:val="00F86C09"/>
    <w:rsid w:val="00FA4ADD"/>
    <w:rsid w:val="00FB2852"/>
    <w:rsid w:val="00FE196C"/>
    <w:rsid w:val="00FF4E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BD1E1224-2AAC-459D-AD2A-0263F030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91"/>
    <w:pPr>
      <w:spacing w:after="120"/>
    </w:pPr>
  </w:style>
  <w:style w:type="paragraph" w:styleId="Heading1">
    <w:name w:val="heading 1"/>
    <w:basedOn w:val="Normal"/>
    <w:next w:val="Normal"/>
    <w:link w:val="Heading1Char"/>
    <w:uiPriority w:val="9"/>
    <w:qFormat/>
    <w:rsid w:val="00FF4EE4"/>
    <w:pPr>
      <w:keepNext/>
      <w:keepLines/>
      <w:spacing w:before="240"/>
      <w:outlineLvl w:val="0"/>
    </w:pPr>
    <w:rPr>
      <w:rFonts w:ascii="Arial" w:eastAsiaTheme="majorEastAsia" w:hAnsi="Arial" w:cs="Arial"/>
      <w:b/>
      <w:color w:val="000000" w:themeColor="text1"/>
      <w:sz w:val="24"/>
      <w:szCs w:val="24"/>
    </w:rPr>
  </w:style>
  <w:style w:type="paragraph" w:styleId="Heading2">
    <w:name w:val="heading 2"/>
    <w:basedOn w:val="Normal"/>
    <w:next w:val="Normal"/>
    <w:link w:val="Heading2Char"/>
    <w:uiPriority w:val="9"/>
    <w:unhideWhenUsed/>
    <w:qFormat/>
    <w:rsid w:val="0017198E"/>
    <w:pPr>
      <w:keepNext/>
      <w:keepLines/>
      <w:spacing w:before="120"/>
      <w:outlineLvl w:val="1"/>
    </w:pPr>
    <w:rPr>
      <w:rFonts w:ascii="Arial" w:eastAsiaTheme="majorEastAsia" w:hAnsi="Arial" w:cs="Arial"/>
      <w:b/>
      <w:color w:val="000000" w:themeColor="text1"/>
      <w:sz w:val="24"/>
      <w:szCs w:val="24"/>
    </w:rPr>
  </w:style>
  <w:style w:type="paragraph" w:styleId="Heading3">
    <w:name w:val="heading 3"/>
    <w:basedOn w:val="Normal"/>
    <w:next w:val="Normal"/>
    <w:link w:val="Heading3Char"/>
    <w:uiPriority w:val="9"/>
    <w:unhideWhenUsed/>
    <w:qFormat/>
    <w:rsid w:val="00EE4942"/>
    <w:pPr>
      <w:keepNext/>
      <w:keepLines/>
      <w:spacing w:before="120"/>
      <w:outlineLvl w:val="2"/>
    </w:pPr>
    <w:rPr>
      <w:rFonts w:ascii="Arial" w:eastAsiaTheme="majorEastAsia" w:hAnsi="Arial" w:cs="Arial"/>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6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5E"/>
  </w:style>
  <w:style w:type="paragraph" w:styleId="Footer">
    <w:name w:val="footer"/>
    <w:basedOn w:val="Normal"/>
    <w:link w:val="FooterChar"/>
    <w:uiPriority w:val="99"/>
    <w:unhideWhenUsed/>
    <w:rsid w:val="000E6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5E"/>
  </w:style>
  <w:style w:type="paragraph" w:styleId="BalloonText">
    <w:name w:val="Balloon Text"/>
    <w:basedOn w:val="Normal"/>
    <w:link w:val="BalloonTextChar"/>
    <w:uiPriority w:val="99"/>
    <w:semiHidden/>
    <w:unhideWhenUsed/>
    <w:rsid w:val="000E6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5E"/>
    <w:rPr>
      <w:rFonts w:ascii="Tahoma" w:hAnsi="Tahoma" w:cs="Tahoma"/>
      <w:sz w:val="16"/>
      <w:szCs w:val="16"/>
    </w:rPr>
  </w:style>
  <w:style w:type="paragraph" w:styleId="ListParagraph">
    <w:name w:val="List Paragraph"/>
    <w:basedOn w:val="Normal"/>
    <w:uiPriority w:val="34"/>
    <w:qFormat/>
    <w:rsid w:val="00772A15"/>
    <w:pPr>
      <w:spacing w:after="160" w:line="259" w:lineRule="auto"/>
      <w:ind w:left="720"/>
      <w:contextualSpacing/>
    </w:pPr>
    <w:rPr>
      <w:lang w:eastAsia="zh-TW"/>
    </w:rPr>
  </w:style>
  <w:style w:type="character" w:styleId="PlaceholderText">
    <w:name w:val="Placeholder Text"/>
    <w:basedOn w:val="DefaultParagraphFont"/>
    <w:uiPriority w:val="99"/>
    <w:semiHidden/>
    <w:rsid w:val="00772A15"/>
    <w:rPr>
      <w:color w:val="808080"/>
    </w:rPr>
  </w:style>
  <w:style w:type="character" w:styleId="Hyperlink">
    <w:name w:val="Hyperlink"/>
    <w:basedOn w:val="DefaultParagraphFont"/>
    <w:uiPriority w:val="99"/>
    <w:unhideWhenUsed/>
    <w:rsid w:val="00772A15"/>
    <w:rPr>
      <w:color w:val="0000FF" w:themeColor="hyperlink"/>
      <w:u w:val="single"/>
    </w:rPr>
  </w:style>
  <w:style w:type="character" w:customStyle="1" w:styleId="Heading1Char">
    <w:name w:val="Heading 1 Char"/>
    <w:basedOn w:val="DefaultParagraphFont"/>
    <w:link w:val="Heading1"/>
    <w:uiPriority w:val="9"/>
    <w:rsid w:val="00FF4EE4"/>
    <w:rPr>
      <w:rFonts w:ascii="Arial" w:eastAsiaTheme="majorEastAsia" w:hAnsi="Arial" w:cs="Arial"/>
      <w:b/>
      <w:color w:val="000000" w:themeColor="text1"/>
      <w:sz w:val="24"/>
      <w:szCs w:val="24"/>
    </w:rPr>
  </w:style>
  <w:style w:type="character" w:customStyle="1" w:styleId="Heading2Char">
    <w:name w:val="Heading 2 Char"/>
    <w:basedOn w:val="DefaultParagraphFont"/>
    <w:link w:val="Heading2"/>
    <w:uiPriority w:val="9"/>
    <w:rsid w:val="0017198E"/>
    <w:rPr>
      <w:rFonts w:ascii="Arial" w:eastAsiaTheme="majorEastAsia" w:hAnsi="Arial" w:cs="Arial"/>
      <w:b/>
      <w:color w:val="000000" w:themeColor="text1"/>
      <w:sz w:val="24"/>
      <w:szCs w:val="24"/>
    </w:rPr>
  </w:style>
  <w:style w:type="character" w:customStyle="1" w:styleId="Heading3Char">
    <w:name w:val="Heading 3 Char"/>
    <w:basedOn w:val="DefaultParagraphFont"/>
    <w:link w:val="Heading3"/>
    <w:uiPriority w:val="9"/>
    <w:rsid w:val="00EE4942"/>
    <w:rPr>
      <w:rFonts w:ascii="Arial" w:eastAsiaTheme="majorEastAsia" w:hAnsi="Arial" w:cs="Arial"/>
      <w:b/>
      <w:i/>
      <w:color w:val="000000" w:themeColor="text1"/>
      <w:sz w:val="24"/>
      <w:szCs w:val="24"/>
    </w:rPr>
  </w:style>
  <w:style w:type="character" w:styleId="FollowedHyperlink">
    <w:name w:val="FollowedHyperlink"/>
    <w:basedOn w:val="DefaultParagraphFont"/>
    <w:uiPriority w:val="99"/>
    <w:semiHidden/>
    <w:unhideWhenUsed/>
    <w:rsid w:val="00284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6099">
      <w:bodyDiv w:val="1"/>
      <w:marLeft w:val="0"/>
      <w:marRight w:val="0"/>
      <w:marTop w:val="0"/>
      <w:marBottom w:val="0"/>
      <w:divBdr>
        <w:top w:val="none" w:sz="0" w:space="0" w:color="auto"/>
        <w:left w:val="none" w:sz="0" w:space="0" w:color="auto"/>
        <w:bottom w:val="none" w:sz="0" w:space="0" w:color="auto"/>
        <w:right w:val="none" w:sz="0" w:space="0" w:color="auto"/>
      </w:divBdr>
    </w:div>
    <w:div w:id="9758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mu.ac.uk/~/media/sample-sharepoint-libraries/policy-documents/144.pdf?la=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owie.ljmu.ac.uk/FacultyLTA/Actionplansandreports/201819%20Teaching%20Observation%20Scheme%20Report%20Appendices.docx" TargetMode="External"/><Relationship Id="rId4" Type="http://schemas.openxmlformats.org/officeDocument/2006/relationships/settings" Target="settings.xml"/><Relationship Id="rId9" Type="http://schemas.openxmlformats.org/officeDocument/2006/relationships/hyperlink" Target="http://wowie.ljmu.ac.uk/FacultyLTA/Actionplansandreports/201819%20Teaching%20Observation%20Scheme%20Report%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72595-2491-4E7B-B5DB-C5443D4B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 Philip</dc:creator>
  <cp:lastModifiedBy>Denton, Philip</cp:lastModifiedBy>
  <cp:revision>2</cp:revision>
  <cp:lastPrinted>2016-11-16T12:51:00Z</cp:lastPrinted>
  <dcterms:created xsi:type="dcterms:W3CDTF">2019-07-10T12:17:00Z</dcterms:created>
  <dcterms:modified xsi:type="dcterms:W3CDTF">2019-07-10T12:17:00Z</dcterms:modified>
</cp:coreProperties>
</file>