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1F" w:rsidRPr="00FF4EE4" w:rsidRDefault="005731E8" w:rsidP="00851991">
      <w:pPr>
        <w:rPr>
          <w:rFonts w:ascii="Arial" w:hAnsi="Arial" w:cs="Arial"/>
          <w:b/>
          <w:sz w:val="28"/>
          <w:szCs w:val="28"/>
        </w:rPr>
      </w:pPr>
      <w:r w:rsidRPr="00FF4EE4">
        <w:rPr>
          <w:rFonts w:ascii="Arial" w:hAnsi="Arial" w:cs="Arial"/>
          <w:b/>
          <w:sz w:val="28"/>
          <w:szCs w:val="28"/>
        </w:rPr>
        <w:t>SCS</w:t>
      </w:r>
      <w:r w:rsidR="00D5467A" w:rsidRPr="00FF4EE4">
        <w:rPr>
          <w:rFonts w:ascii="Arial" w:hAnsi="Arial" w:cs="Arial"/>
          <w:b/>
          <w:sz w:val="28"/>
          <w:szCs w:val="28"/>
        </w:rPr>
        <w:t xml:space="preserve"> </w:t>
      </w:r>
      <w:r w:rsidRPr="00FF4EE4">
        <w:rPr>
          <w:rFonts w:ascii="Arial" w:hAnsi="Arial" w:cs="Arial"/>
          <w:b/>
          <w:sz w:val="28"/>
          <w:szCs w:val="28"/>
        </w:rPr>
        <w:t xml:space="preserve">Teaching Observation </w:t>
      </w:r>
      <w:r w:rsidR="00D9111F" w:rsidRPr="00FF4EE4">
        <w:rPr>
          <w:rFonts w:ascii="Arial" w:hAnsi="Arial" w:cs="Arial"/>
          <w:b/>
          <w:sz w:val="28"/>
          <w:szCs w:val="28"/>
        </w:rPr>
        <w:t>Scheme Annual Report</w:t>
      </w:r>
      <w:r w:rsidR="00D5467A" w:rsidRPr="00FF4EE4">
        <w:rPr>
          <w:rFonts w:ascii="Arial" w:hAnsi="Arial" w:cs="Arial"/>
          <w:b/>
          <w:sz w:val="28"/>
          <w:szCs w:val="28"/>
        </w:rPr>
        <w:t xml:space="preserve"> 201</w:t>
      </w:r>
      <w:r w:rsidRPr="00FF4EE4">
        <w:rPr>
          <w:rFonts w:ascii="Arial" w:hAnsi="Arial" w:cs="Arial"/>
          <w:b/>
          <w:sz w:val="28"/>
          <w:szCs w:val="28"/>
        </w:rPr>
        <w:t>6</w:t>
      </w:r>
      <w:r w:rsidR="00D5467A" w:rsidRPr="00FF4EE4">
        <w:rPr>
          <w:rFonts w:ascii="Arial" w:hAnsi="Arial" w:cs="Arial"/>
          <w:b/>
          <w:sz w:val="28"/>
          <w:szCs w:val="28"/>
        </w:rPr>
        <w:t>-1</w:t>
      </w:r>
      <w:r w:rsidRPr="00FF4EE4">
        <w:rPr>
          <w:rFonts w:ascii="Arial" w:hAnsi="Arial" w:cs="Arial"/>
          <w:b/>
          <w:sz w:val="28"/>
          <w:szCs w:val="28"/>
        </w:rPr>
        <w:t>7</w:t>
      </w:r>
    </w:p>
    <w:p w:rsidR="00EA2B0B" w:rsidRPr="00FF4EE4" w:rsidRDefault="00AE1163" w:rsidP="00FF4EE4">
      <w:pPr>
        <w:pStyle w:val="Heading1"/>
      </w:pPr>
      <w:r w:rsidRPr="00FF4EE4">
        <w:t>Background</w:t>
      </w:r>
    </w:p>
    <w:p w:rsidR="005731E8" w:rsidRDefault="00B53F8C" w:rsidP="005731E8">
      <w:r>
        <w:t>201</w:t>
      </w:r>
      <w:r w:rsidR="005731E8">
        <w:t>6</w:t>
      </w:r>
      <w:r>
        <w:t>-1</w:t>
      </w:r>
      <w:r w:rsidR="005731E8">
        <w:t>7</w:t>
      </w:r>
      <w:r>
        <w:t xml:space="preserve"> represents the </w:t>
      </w:r>
      <w:r w:rsidR="005731E8">
        <w:t>second</w:t>
      </w:r>
      <w:r>
        <w:t xml:space="preserve"> year of the </w:t>
      </w:r>
      <w:r w:rsidR="00BB085E">
        <w:t xml:space="preserve">revised </w:t>
      </w:r>
      <w:r w:rsidR="005731E8">
        <w:t xml:space="preserve">Faculty </w:t>
      </w:r>
      <w:r>
        <w:t>observation scheme</w:t>
      </w:r>
      <w:r w:rsidR="00BB085E">
        <w:t xml:space="preserve">, introduced to align with the University’s </w:t>
      </w:r>
      <w:hyperlink r:id="rId8" w:history="1">
        <w:r w:rsidR="00BB085E" w:rsidRPr="00BB085E">
          <w:rPr>
            <w:rStyle w:val="Hyperlink"/>
          </w:rPr>
          <w:t>Learning and Teaching Framework</w:t>
        </w:r>
      </w:hyperlink>
      <w:r>
        <w:t>.</w:t>
      </w:r>
      <w:r w:rsidR="005731E8">
        <w:t xml:space="preserve"> </w:t>
      </w:r>
      <w:r w:rsidR="00926018">
        <w:t xml:space="preserve"> </w:t>
      </w:r>
      <w:hyperlink r:id="rId9" w:history="1">
        <w:r w:rsidR="005731E8">
          <w:rPr>
            <w:rStyle w:val="Hyperlink"/>
          </w:rPr>
          <w:t>Eight Faculty training sessions</w:t>
        </w:r>
      </w:hyperlink>
      <w:r>
        <w:t xml:space="preserve"> </w:t>
      </w:r>
      <w:r w:rsidR="005731E8">
        <w:t xml:space="preserve">have been </w:t>
      </w:r>
      <w:r w:rsidR="006131D5">
        <w:t>delivered</w:t>
      </w:r>
      <w:r>
        <w:t xml:space="preserve"> to introduce staff to the new scheme</w:t>
      </w:r>
      <w:r w:rsidR="006B7803">
        <w:t xml:space="preserve"> and reporting </w:t>
      </w:r>
      <w:r w:rsidR="007F6372">
        <w:t>procedures</w:t>
      </w:r>
      <w:r>
        <w:t xml:space="preserve">. </w:t>
      </w:r>
      <w:r w:rsidR="005731E8">
        <w:t xml:space="preserve"> The form used to record observation reflections and feedback, shared between observer and observee only, was identified within the Faculty as Form A.  The form returned to the A</w:t>
      </w:r>
      <w:r w:rsidR="007F6372">
        <w:t>ssociate Dean (Education)</w:t>
      </w:r>
      <w:r w:rsidR="005731E8">
        <w:t xml:space="preserve"> to confirm that the observation had taken place was identified as Form B.  </w:t>
      </w:r>
    </w:p>
    <w:p w:rsidR="00E23803" w:rsidRDefault="005731E8" w:rsidP="00851991">
      <w:r>
        <w:t xml:space="preserve">Staff who were unable to attend training, and existing observers from the direct observation and PGCert schemes, </w:t>
      </w:r>
      <w:r w:rsidR="00D42B77">
        <w:t>have been</w:t>
      </w:r>
      <w:r>
        <w:t xml:space="preserve"> provided with </w:t>
      </w:r>
      <w:hyperlink r:id="rId10" w:history="1">
        <w:r w:rsidRPr="00926018">
          <w:rPr>
            <w:rStyle w:val="Hyperlink"/>
          </w:rPr>
          <w:t xml:space="preserve">electronic </w:t>
        </w:r>
        <w:r>
          <w:rPr>
            <w:rStyle w:val="Hyperlink"/>
          </w:rPr>
          <w:t xml:space="preserve">training </w:t>
        </w:r>
        <w:r w:rsidRPr="00926018">
          <w:rPr>
            <w:rStyle w:val="Hyperlink"/>
          </w:rPr>
          <w:t>resources</w:t>
        </w:r>
      </w:hyperlink>
      <w:r>
        <w:t xml:space="preserve">.  </w:t>
      </w:r>
      <w:r w:rsidR="00E23803">
        <w:t xml:space="preserve">Training materials reflect the predominance of lecture theatre accommodation at Byrom St and observers were </w:t>
      </w:r>
      <w:r w:rsidR="00705966">
        <w:t>invited</w:t>
      </w:r>
      <w:r w:rsidR="00E23803">
        <w:t xml:space="preserve"> to use the Faculty’s DISCO prompts when observing sessions:</w:t>
      </w:r>
    </w:p>
    <w:p w:rsidR="00E23803" w:rsidRDefault="00E23803" w:rsidP="00E23803">
      <w:pPr>
        <w:pStyle w:val="ListParagraph"/>
        <w:numPr>
          <w:ilvl w:val="0"/>
          <w:numId w:val="4"/>
        </w:numPr>
      </w:pPr>
      <w:r>
        <w:t>Delivery</w:t>
      </w:r>
    </w:p>
    <w:p w:rsidR="00E23803" w:rsidRDefault="00E23803" w:rsidP="00E23803">
      <w:pPr>
        <w:pStyle w:val="ListParagraph"/>
        <w:numPr>
          <w:ilvl w:val="0"/>
          <w:numId w:val="4"/>
        </w:numPr>
      </w:pPr>
      <w:r>
        <w:t>Inclusivity</w:t>
      </w:r>
    </w:p>
    <w:p w:rsidR="00E23803" w:rsidRDefault="00E23803" w:rsidP="00E23803">
      <w:pPr>
        <w:pStyle w:val="ListParagraph"/>
        <w:numPr>
          <w:ilvl w:val="0"/>
          <w:numId w:val="4"/>
        </w:numPr>
      </w:pPr>
      <w:r>
        <w:t>Structure</w:t>
      </w:r>
    </w:p>
    <w:p w:rsidR="00E23803" w:rsidRDefault="00E23803" w:rsidP="00E23803">
      <w:pPr>
        <w:pStyle w:val="ListParagraph"/>
        <w:numPr>
          <w:ilvl w:val="0"/>
          <w:numId w:val="4"/>
        </w:numPr>
      </w:pPr>
      <w:r>
        <w:t>Content</w:t>
      </w:r>
    </w:p>
    <w:p w:rsidR="00E23803" w:rsidRDefault="00E23803" w:rsidP="00E23803">
      <w:pPr>
        <w:pStyle w:val="ListParagraph"/>
        <w:numPr>
          <w:ilvl w:val="0"/>
          <w:numId w:val="4"/>
        </w:numPr>
      </w:pPr>
      <w:r>
        <w:t>Operational (use of AV, blackout, control of environment</w:t>
      </w:r>
      <w:r w:rsidR="00DD7F1F">
        <w:t xml:space="preserve">, </w:t>
      </w:r>
      <w:r w:rsidR="00705966">
        <w:t>safety</w:t>
      </w:r>
      <w:r>
        <w:t>)</w:t>
      </w:r>
    </w:p>
    <w:p w:rsidR="00926018" w:rsidRDefault="00926018" w:rsidP="00851991">
      <w:r>
        <w:t xml:space="preserve">After consideration of these five interconnected themes, </w:t>
      </w:r>
      <w:r w:rsidR="00D42B77">
        <w:t>observers</w:t>
      </w:r>
      <w:r>
        <w:t xml:space="preserve"> </w:t>
      </w:r>
      <w:r w:rsidR="00D42B77">
        <w:t>are</w:t>
      </w:r>
      <w:r>
        <w:t xml:space="preserve"> </w:t>
      </w:r>
      <w:r w:rsidR="00D42B77">
        <w:t>asked</w:t>
      </w:r>
      <w:r>
        <w:t xml:space="preserve"> to </w:t>
      </w:r>
      <w:r w:rsidR="00DD7F1F">
        <w:t>respond to this question on Form A,</w:t>
      </w:r>
      <w:r>
        <w:t xml:space="preserve"> </w:t>
      </w:r>
      <w:r w:rsidR="00EC03D0">
        <w:t>“</w:t>
      </w:r>
      <w:r w:rsidR="00EC03D0" w:rsidRPr="00EC03D0">
        <w:t>Overall, were students engaged during this session?</w:t>
      </w:r>
      <w:r w:rsidR="00EC03D0">
        <w:t>”</w:t>
      </w:r>
    </w:p>
    <w:p w:rsidR="00695C8A" w:rsidRDefault="00D42B77" w:rsidP="00851991">
      <w:r>
        <w:t xml:space="preserve">At the start of each year, </w:t>
      </w:r>
      <w:r w:rsidR="007F6372">
        <w:t xml:space="preserve">School </w:t>
      </w:r>
      <w:r w:rsidR="00695C8A">
        <w:t xml:space="preserve">Directors are invited to </w:t>
      </w:r>
      <w:r w:rsidR="006131D5">
        <w:t>allocate</w:t>
      </w:r>
      <w:r w:rsidR="00695C8A">
        <w:t xml:space="preserve"> a list of </w:t>
      </w:r>
      <w:r w:rsidR="007F6372">
        <w:t xml:space="preserve">eligible </w:t>
      </w:r>
      <w:r w:rsidR="00695C8A">
        <w:t xml:space="preserve">observees </w:t>
      </w:r>
      <w:r w:rsidR="007F6372">
        <w:t>to</w:t>
      </w:r>
      <w:r w:rsidR="00695C8A">
        <w:t xml:space="preserve"> each of the </w:t>
      </w:r>
      <w:r w:rsidR="006131D5">
        <w:t xml:space="preserve">eligible and </w:t>
      </w:r>
      <w:r w:rsidR="00695C8A">
        <w:t xml:space="preserve">trained observers identified by the </w:t>
      </w:r>
      <w:r>
        <w:t>Associate</w:t>
      </w:r>
      <w:r w:rsidR="007F6372">
        <w:t xml:space="preserve"> Dean (Education)</w:t>
      </w:r>
      <w:r w:rsidR="00695C8A">
        <w:t xml:space="preserve">. </w:t>
      </w:r>
      <w:r>
        <w:t xml:space="preserve"> </w:t>
      </w:r>
      <w:r w:rsidR="00695C8A">
        <w:t>Any observations that did not take place in the preceding year are rolled-over into the next</w:t>
      </w:r>
      <w:r w:rsidR="00695C8A" w:rsidRPr="00695C8A">
        <w:t xml:space="preserve"> </w:t>
      </w:r>
      <w:r w:rsidR="00695C8A">
        <w:t>if both observer and observee remain eligible.</w:t>
      </w:r>
    </w:p>
    <w:p w:rsidR="00AE1163" w:rsidRDefault="00AE1163" w:rsidP="00FF4EE4">
      <w:pPr>
        <w:pStyle w:val="Heading1"/>
      </w:pPr>
      <w:r>
        <w:t>Summary</w:t>
      </w:r>
      <w:r w:rsidR="00BB085E">
        <w:t xml:space="preserve"> for 2016/17</w:t>
      </w:r>
      <w:r w:rsidR="001A0D48">
        <w:t>*</w:t>
      </w:r>
    </w:p>
    <w:tbl>
      <w:tblPr>
        <w:tblStyle w:val="TableGrid"/>
        <w:tblW w:w="9075" w:type="dxa"/>
        <w:tblLook w:val="04A0" w:firstRow="1" w:lastRow="0" w:firstColumn="1" w:lastColumn="0" w:noHBand="0" w:noVBand="1"/>
      </w:tblPr>
      <w:tblGrid>
        <w:gridCol w:w="573"/>
        <w:gridCol w:w="1417"/>
        <w:gridCol w:w="1417"/>
        <w:gridCol w:w="1417"/>
        <w:gridCol w:w="1417"/>
        <w:gridCol w:w="1417"/>
        <w:gridCol w:w="1417"/>
      </w:tblGrid>
      <w:tr w:rsidR="001A0D48" w:rsidTr="005F5EF0">
        <w:tc>
          <w:tcPr>
            <w:tcW w:w="573" w:type="dxa"/>
            <w:vAlign w:val="center"/>
          </w:tcPr>
          <w:p w:rsidR="001A0D48" w:rsidRDefault="001A0D48" w:rsidP="005F5EF0">
            <w:pPr>
              <w:spacing w:before="120"/>
            </w:pPr>
          </w:p>
        </w:tc>
        <w:tc>
          <w:tcPr>
            <w:tcW w:w="1417" w:type="dxa"/>
            <w:vAlign w:val="center"/>
          </w:tcPr>
          <w:p w:rsidR="001A0D48" w:rsidRDefault="001A0D48" w:rsidP="005F5EF0">
            <w:pPr>
              <w:spacing w:before="120"/>
            </w:pPr>
            <w:r>
              <w:t xml:space="preserve">Faculty-scheduled observation </w:t>
            </w:r>
          </w:p>
        </w:tc>
        <w:tc>
          <w:tcPr>
            <w:tcW w:w="1417" w:type="dxa"/>
            <w:vAlign w:val="center"/>
          </w:tcPr>
          <w:p w:rsidR="001A0D48" w:rsidRDefault="005C5AB7" w:rsidP="005F5EF0">
            <w:pPr>
              <w:spacing w:before="120"/>
            </w:pPr>
            <w:r>
              <w:t xml:space="preserve">PGCert** </w:t>
            </w:r>
            <w:r w:rsidR="001A0D48">
              <w:t>scheduled observation</w:t>
            </w:r>
          </w:p>
        </w:tc>
        <w:tc>
          <w:tcPr>
            <w:tcW w:w="1417" w:type="dxa"/>
            <w:vAlign w:val="center"/>
          </w:tcPr>
          <w:p w:rsidR="001A0D48" w:rsidRDefault="001A0D48" w:rsidP="005F5EF0">
            <w:pPr>
              <w:spacing w:before="120"/>
            </w:pPr>
            <w:r>
              <w:t>Total scheduled observations</w:t>
            </w:r>
          </w:p>
        </w:tc>
        <w:tc>
          <w:tcPr>
            <w:tcW w:w="1417" w:type="dxa"/>
            <w:vAlign w:val="center"/>
          </w:tcPr>
          <w:p w:rsidR="001A0D48" w:rsidRDefault="001A0D48" w:rsidP="005F5EF0">
            <w:pPr>
              <w:spacing w:before="120"/>
            </w:pPr>
            <w:r>
              <w:t>Actual observations in 2016/17</w:t>
            </w:r>
          </w:p>
        </w:tc>
        <w:tc>
          <w:tcPr>
            <w:tcW w:w="1417" w:type="dxa"/>
            <w:vAlign w:val="center"/>
          </w:tcPr>
          <w:p w:rsidR="001A0D48" w:rsidRDefault="001A0D48" w:rsidP="005F5EF0">
            <w:pPr>
              <w:spacing w:before="120"/>
            </w:pPr>
            <w:r>
              <w:t>% of Observations completed</w:t>
            </w:r>
          </w:p>
        </w:tc>
        <w:tc>
          <w:tcPr>
            <w:tcW w:w="1417" w:type="dxa"/>
            <w:vAlign w:val="center"/>
          </w:tcPr>
          <w:p w:rsidR="001A0D48" w:rsidRDefault="001A0D48" w:rsidP="005F5EF0">
            <w:pPr>
              <w:spacing w:before="120"/>
            </w:pPr>
            <w:r>
              <w:t>% (and No.) of trained Observers</w:t>
            </w:r>
          </w:p>
        </w:tc>
      </w:tr>
      <w:tr w:rsidR="001A0D48" w:rsidTr="005F5EF0">
        <w:tc>
          <w:tcPr>
            <w:tcW w:w="573" w:type="dxa"/>
            <w:vAlign w:val="center"/>
          </w:tcPr>
          <w:p w:rsidR="001A0D48" w:rsidRPr="00587267" w:rsidRDefault="001A0D48" w:rsidP="005F5EF0">
            <w:pPr>
              <w:spacing w:before="120"/>
            </w:pPr>
            <w:r w:rsidRPr="00587267">
              <w:t>NSP</w:t>
            </w:r>
          </w:p>
        </w:tc>
        <w:tc>
          <w:tcPr>
            <w:tcW w:w="1417" w:type="dxa"/>
            <w:vAlign w:val="center"/>
          </w:tcPr>
          <w:p w:rsidR="001A0D48" w:rsidRPr="00633F4F" w:rsidRDefault="001A0D48" w:rsidP="005F5EF0">
            <w:pPr>
              <w:spacing w:before="120"/>
            </w:pPr>
            <w:r w:rsidRPr="00633F4F">
              <w:t>35</w:t>
            </w:r>
          </w:p>
        </w:tc>
        <w:tc>
          <w:tcPr>
            <w:tcW w:w="1417" w:type="dxa"/>
            <w:vAlign w:val="center"/>
          </w:tcPr>
          <w:p w:rsidR="001A0D48" w:rsidRPr="00633F4F" w:rsidRDefault="001A0D48" w:rsidP="005F5EF0">
            <w:pPr>
              <w:spacing w:before="120"/>
            </w:pPr>
            <w:r w:rsidRPr="00633F4F">
              <w:t>6</w:t>
            </w:r>
          </w:p>
        </w:tc>
        <w:tc>
          <w:tcPr>
            <w:tcW w:w="1417" w:type="dxa"/>
            <w:vAlign w:val="center"/>
          </w:tcPr>
          <w:p w:rsidR="001A0D48" w:rsidRPr="00633F4F" w:rsidRDefault="001A0D48" w:rsidP="005F5EF0">
            <w:pPr>
              <w:spacing w:before="120"/>
            </w:pPr>
            <w:r w:rsidRPr="00633F4F">
              <w:t>41</w:t>
            </w:r>
          </w:p>
        </w:tc>
        <w:tc>
          <w:tcPr>
            <w:tcW w:w="1417" w:type="dxa"/>
            <w:vAlign w:val="center"/>
          </w:tcPr>
          <w:p w:rsidR="001A0D48" w:rsidRPr="00633F4F" w:rsidRDefault="001A0D48" w:rsidP="005F5EF0">
            <w:pPr>
              <w:spacing w:before="120"/>
            </w:pPr>
            <w:r w:rsidRPr="00633F4F">
              <w:t>34</w:t>
            </w:r>
          </w:p>
        </w:tc>
        <w:tc>
          <w:tcPr>
            <w:tcW w:w="1417" w:type="dxa"/>
            <w:vAlign w:val="center"/>
          </w:tcPr>
          <w:p w:rsidR="001A0D48" w:rsidRPr="00633F4F" w:rsidRDefault="001A0D48" w:rsidP="005F5EF0">
            <w:pPr>
              <w:spacing w:before="120"/>
            </w:pPr>
            <w:r w:rsidRPr="00633F4F">
              <w:t>83%</w:t>
            </w:r>
          </w:p>
        </w:tc>
        <w:tc>
          <w:tcPr>
            <w:tcW w:w="1417" w:type="dxa"/>
            <w:vAlign w:val="center"/>
          </w:tcPr>
          <w:p w:rsidR="001A0D48" w:rsidRPr="00587267" w:rsidRDefault="001A0D48" w:rsidP="005F5EF0">
            <w:pPr>
              <w:spacing w:before="120"/>
            </w:pPr>
            <w:r w:rsidRPr="00587267">
              <w:t>89% (80)</w:t>
            </w:r>
          </w:p>
        </w:tc>
      </w:tr>
      <w:tr w:rsidR="001A0D48" w:rsidTr="005F5EF0">
        <w:tc>
          <w:tcPr>
            <w:tcW w:w="573" w:type="dxa"/>
            <w:vAlign w:val="center"/>
          </w:tcPr>
          <w:p w:rsidR="001A0D48" w:rsidRPr="00587267" w:rsidRDefault="001A0D48" w:rsidP="005F5EF0">
            <w:pPr>
              <w:spacing w:before="120"/>
            </w:pPr>
            <w:r w:rsidRPr="00587267">
              <w:t>PBS</w:t>
            </w:r>
          </w:p>
        </w:tc>
        <w:tc>
          <w:tcPr>
            <w:tcW w:w="1417" w:type="dxa"/>
            <w:vAlign w:val="center"/>
          </w:tcPr>
          <w:p w:rsidR="001A0D48" w:rsidRPr="00633F4F" w:rsidRDefault="001A0D48" w:rsidP="005F5EF0">
            <w:pPr>
              <w:spacing w:before="120"/>
            </w:pPr>
            <w:r w:rsidRPr="00633F4F">
              <w:t>36</w:t>
            </w:r>
          </w:p>
        </w:tc>
        <w:tc>
          <w:tcPr>
            <w:tcW w:w="1417" w:type="dxa"/>
            <w:vAlign w:val="center"/>
          </w:tcPr>
          <w:p w:rsidR="001A0D48" w:rsidRPr="00633F4F" w:rsidRDefault="001A0D48" w:rsidP="005F5EF0">
            <w:pPr>
              <w:spacing w:before="120"/>
            </w:pPr>
            <w:r w:rsidRPr="00633F4F">
              <w:t>4</w:t>
            </w:r>
          </w:p>
        </w:tc>
        <w:tc>
          <w:tcPr>
            <w:tcW w:w="1417" w:type="dxa"/>
            <w:vAlign w:val="center"/>
          </w:tcPr>
          <w:p w:rsidR="001A0D48" w:rsidRPr="00633F4F" w:rsidRDefault="001A0D48" w:rsidP="005F5EF0">
            <w:pPr>
              <w:spacing w:before="120"/>
            </w:pPr>
            <w:r w:rsidRPr="00633F4F">
              <w:t>40</w:t>
            </w:r>
          </w:p>
        </w:tc>
        <w:tc>
          <w:tcPr>
            <w:tcW w:w="1417" w:type="dxa"/>
            <w:vAlign w:val="center"/>
          </w:tcPr>
          <w:p w:rsidR="001A0D48" w:rsidRPr="00633F4F" w:rsidRDefault="001A0D48" w:rsidP="005F5EF0">
            <w:pPr>
              <w:spacing w:before="120"/>
            </w:pPr>
            <w:r w:rsidRPr="00633F4F">
              <w:t>36</w:t>
            </w:r>
          </w:p>
        </w:tc>
        <w:tc>
          <w:tcPr>
            <w:tcW w:w="1417" w:type="dxa"/>
            <w:vAlign w:val="center"/>
          </w:tcPr>
          <w:p w:rsidR="001A0D48" w:rsidRPr="00633F4F" w:rsidRDefault="001A0D48" w:rsidP="005F5EF0">
            <w:pPr>
              <w:spacing w:before="120"/>
            </w:pPr>
            <w:r w:rsidRPr="00633F4F">
              <w:t>90%</w:t>
            </w:r>
          </w:p>
        </w:tc>
        <w:tc>
          <w:tcPr>
            <w:tcW w:w="1417" w:type="dxa"/>
            <w:vAlign w:val="center"/>
          </w:tcPr>
          <w:p w:rsidR="001A0D48" w:rsidRPr="00587267" w:rsidRDefault="001A0D48" w:rsidP="005F5EF0">
            <w:pPr>
              <w:spacing w:before="120"/>
            </w:pPr>
            <w:r w:rsidRPr="00587267">
              <w:t>93% (68)</w:t>
            </w:r>
          </w:p>
        </w:tc>
      </w:tr>
      <w:tr w:rsidR="001A0D48" w:rsidTr="005F5EF0">
        <w:tc>
          <w:tcPr>
            <w:tcW w:w="573" w:type="dxa"/>
            <w:vAlign w:val="center"/>
          </w:tcPr>
          <w:p w:rsidR="001A0D48" w:rsidRPr="00587267" w:rsidRDefault="001A0D48" w:rsidP="005F5EF0">
            <w:pPr>
              <w:spacing w:before="120"/>
            </w:pPr>
            <w:r w:rsidRPr="00587267">
              <w:t>SPS</w:t>
            </w:r>
          </w:p>
        </w:tc>
        <w:tc>
          <w:tcPr>
            <w:tcW w:w="1417" w:type="dxa"/>
            <w:vAlign w:val="center"/>
          </w:tcPr>
          <w:p w:rsidR="001A0D48" w:rsidRPr="00633F4F" w:rsidRDefault="001A0D48" w:rsidP="005F5EF0">
            <w:pPr>
              <w:spacing w:before="120"/>
            </w:pPr>
            <w:r w:rsidRPr="00633F4F">
              <w:t>22</w:t>
            </w:r>
          </w:p>
        </w:tc>
        <w:tc>
          <w:tcPr>
            <w:tcW w:w="1417" w:type="dxa"/>
            <w:vAlign w:val="center"/>
          </w:tcPr>
          <w:p w:rsidR="001A0D48" w:rsidRPr="00633F4F" w:rsidRDefault="001A0D48" w:rsidP="005F5EF0">
            <w:pPr>
              <w:spacing w:before="120"/>
            </w:pPr>
            <w:r w:rsidRPr="00633F4F">
              <w:t>1</w:t>
            </w:r>
          </w:p>
        </w:tc>
        <w:tc>
          <w:tcPr>
            <w:tcW w:w="1417" w:type="dxa"/>
            <w:vAlign w:val="center"/>
          </w:tcPr>
          <w:p w:rsidR="001A0D48" w:rsidRPr="00633F4F" w:rsidRDefault="001A0D48" w:rsidP="005F5EF0">
            <w:pPr>
              <w:spacing w:before="120"/>
            </w:pPr>
            <w:r w:rsidRPr="00633F4F">
              <w:t>23</w:t>
            </w:r>
          </w:p>
        </w:tc>
        <w:tc>
          <w:tcPr>
            <w:tcW w:w="1417" w:type="dxa"/>
            <w:vAlign w:val="center"/>
          </w:tcPr>
          <w:p w:rsidR="001A0D48" w:rsidRPr="00633F4F" w:rsidRDefault="001A0D48" w:rsidP="005F5EF0">
            <w:pPr>
              <w:spacing w:before="120"/>
            </w:pPr>
            <w:r w:rsidRPr="00633F4F">
              <w:t>23</w:t>
            </w:r>
          </w:p>
        </w:tc>
        <w:tc>
          <w:tcPr>
            <w:tcW w:w="1417" w:type="dxa"/>
            <w:vAlign w:val="center"/>
          </w:tcPr>
          <w:p w:rsidR="001A0D48" w:rsidRPr="00633F4F" w:rsidRDefault="001A0D48" w:rsidP="005F5EF0">
            <w:pPr>
              <w:spacing w:before="120"/>
            </w:pPr>
            <w:r w:rsidRPr="00633F4F">
              <w:t>100%</w:t>
            </w:r>
          </w:p>
        </w:tc>
        <w:tc>
          <w:tcPr>
            <w:tcW w:w="1417" w:type="dxa"/>
            <w:vAlign w:val="center"/>
          </w:tcPr>
          <w:p w:rsidR="001A0D48" w:rsidRPr="00587267" w:rsidRDefault="001A0D48" w:rsidP="005F5EF0">
            <w:pPr>
              <w:spacing w:before="120"/>
            </w:pPr>
            <w:r w:rsidRPr="00587267">
              <w:t>93% (54)</w:t>
            </w:r>
          </w:p>
        </w:tc>
      </w:tr>
      <w:tr w:rsidR="001A0D48" w:rsidTr="005F5EF0">
        <w:tc>
          <w:tcPr>
            <w:tcW w:w="573" w:type="dxa"/>
            <w:tcBorders>
              <w:bottom w:val="single" w:sz="4" w:space="0" w:color="auto"/>
            </w:tcBorders>
            <w:vAlign w:val="center"/>
          </w:tcPr>
          <w:p w:rsidR="001A0D48" w:rsidRPr="00587267" w:rsidRDefault="001A0D48" w:rsidP="005F5EF0">
            <w:pPr>
              <w:spacing w:before="120"/>
            </w:pPr>
            <w:r w:rsidRPr="00587267">
              <w:t xml:space="preserve">SCS </w:t>
            </w:r>
          </w:p>
        </w:tc>
        <w:tc>
          <w:tcPr>
            <w:tcW w:w="1417" w:type="dxa"/>
            <w:tcBorders>
              <w:bottom w:val="single" w:sz="4" w:space="0" w:color="auto"/>
            </w:tcBorders>
            <w:vAlign w:val="center"/>
          </w:tcPr>
          <w:p w:rsidR="001A0D48" w:rsidRPr="00633F4F" w:rsidRDefault="001A0D48" w:rsidP="005F5EF0">
            <w:pPr>
              <w:spacing w:before="120"/>
            </w:pPr>
            <w:r w:rsidRPr="00633F4F">
              <w:t>93</w:t>
            </w:r>
          </w:p>
        </w:tc>
        <w:tc>
          <w:tcPr>
            <w:tcW w:w="1417" w:type="dxa"/>
            <w:tcBorders>
              <w:bottom w:val="single" w:sz="4" w:space="0" w:color="auto"/>
            </w:tcBorders>
            <w:vAlign w:val="center"/>
          </w:tcPr>
          <w:p w:rsidR="001A0D48" w:rsidRPr="00633F4F" w:rsidRDefault="001A0D48" w:rsidP="005F5EF0">
            <w:pPr>
              <w:spacing w:before="120"/>
            </w:pPr>
            <w:r w:rsidRPr="00633F4F">
              <w:t>11</w:t>
            </w:r>
          </w:p>
        </w:tc>
        <w:tc>
          <w:tcPr>
            <w:tcW w:w="1417" w:type="dxa"/>
            <w:tcBorders>
              <w:bottom w:val="single" w:sz="4" w:space="0" w:color="auto"/>
            </w:tcBorders>
            <w:vAlign w:val="center"/>
          </w:tcPr>
          <w:p w:rsidR="001A0D48" w:rsidRPr="00633F4F" w:rsidRDefault="001A0D48" w:rsidP="005F5EF0">
            <w:pPr>
              <w:spacing w:before="120"/>
            </w:pPr>
            <w:r w:rsidRPr="00633F4F">
              <w:t>104</w:t>
            </w:r>
          </w:p>
        </w:tc>
        <w:tc>
          <w:tcPr>
            <w:tcW w:w="1417" w:type="dxa"/>
            <w:tcBorders>
              <w:bottom w:val="single" w:sz="4" w:space="0" w:color="auto"/>
            </w:tcBorders>
            <w:vAlign w:val="center"/>
          </w:tcPr>
          <w:p w:rsidR="001A0D48" w:rsidRPr="00633F4F" w:rsidRDefault="001A0D48" w:rsidP="005F5EF0">
            <w:pPr>
              <w:spacing w:before="120"/>
            </w:pPr>
            <w:r w:rsidRPr="00633F4F">
              <w:t>93</w:t>
            </w:r>
          </w:p>
        </w:tc>
        <w:tc>
          <w:tcPr>
            <w:tcW w:w="1417" w:type="dxa"/>
            <w:tcBorders>
              <w:bottom w:val="single" w:sz="4" w:space="0" w:color="auto"/>
            </w:tcBorders>
            <w:vAlign w:val="center"/>
          </w:tcPr>
          <w:p w:rsidR="001A0D48" w:rsidRDefault="001A0D48" w:rsidP="005F5EF0">
            <w:pPr>
              <w:spacing w:before="120"/>
            </w:pPr>
            <w:r w:rsidRPr="00633F4F">
              <w:t>89%</w:t>
            </w:r>
          </w:p>
        </w:tc>
        <w:tc>
          <w:tcPr>
            <w:tcW w:w="1417" w:type="dxa"/>
            <w:tcBorders>
              <w:bottom w:val="single" w:sz="4" w:space="0" w:color="auto"/>
            </w:tcBorders>
            <w:vAlign w:val="center"/>
          </w:tcPr>
          <w:p w:rsidR="001A0D48" w:rsidRPr="00587267" w:rsidRDefault="001A0D48" w:rsidP="005F5EF0">
            <w:pPr>
              <w:spacing w:before="120"/>
            </w:pPr>
            <w:r>
              <w:t>91% (202)</w:t>
            </w:r>
          </w:p>
        </w:tc>
      </w:tr>
    </w:tbl>
    <w:p w:rsidR="005C5AB7" w:rsidRDefault="00AE1163" w:rsidP="005C5AB7">
      <w:r>
        <w:t>*</w:t>
      </w:r>
      <w:r w:rsidR="001A0D48">
        <w:t xml:space="preserve">Revised April 2018 following </w:t>
      </w:r>
      <w:r w:rsidR="005F5EF0">
        <w:t xml:space="preserve">a </w:t>
      </w:r>
      <w:r w:rsidR="001A0D48">
        <w:t>change in methodology</w:t>
      </w:r>
      <w:r w:rsidR="005C5AB7">
        <w:t xml:space="preserve"> </w:t>
      </w:r>
      <w:r w:rsidR="005C5AB7">
        <w:t xml:space="preserve">**Exempt from Faculty Observation and training </w:t>
      </w:r>
    </w:p>
    <w:p w:rsidR="005F5EF0" w:rsidRDefault="00695C8A" w:rsidP="00695C8A">
      <w:r w:rsidRPr="00695C8A">
        <w:t xml:space="preserve">The </w:t>
      </w:r>
      <w:r w:rsidR="00A44FE8">
        <w:t xml:space="preserve">overall </w:t>
      </w:r>
      <w:r w:rsidR="00351FAD">
        <w:t xml:space="preserve">annual </w:t>
      </w:r>
      <w:r w:rsidR="00A44FE8">
        <w:t xml:space="preserve">observation rate is </w:t>
      </w:r>
      <w:r>
        <w:t>pleasing</w:t>
      </w:r>
      <w:r w:rsidR="009842B8">
        <w:t xml:space="preserve"> and </w:t>
      </w:r>
      <w:r w:rsidR="005F5EF0">
        <w:t>almost attains the</w:t>
      </w:r>
      <w:r>
        <w:t xml:space="preserve"> Faculty </w:t>
      </w:r>
      <w:r w:rsidR="002731ED">
        <w:t xml:space="preserve">LTA plan </w:t>
      </w:r>
      <w:r>
        <w:t xml:space="preserve">target of 90%. </w:t>
      </w:r>
      <w:r w:rsidR="007F6372">
        <w:t xml:space="preserve"> </w:t>
      </w:r>
      <w:r w:rsidR="005F5EF0">
        <w:t>N</w:t>
      </w:r>
      <w:r w:rsidR="002731ED">
        <w:t>ow that the first two-year cycle of the scheme is comp</w:t>
      </w:r>
      <w:bookmarkStart w:id="0" w:name="_GoBack"/>
      <w:bookmarkEnd w:id="0"/>
      <w:r w:rsidR="002731ED">
        <w:t xml:space="preserve">lete, </w:t>
      </w:r>
      <w:r w:rsidR="002B4DA6">
        <w:t>all previous participants have been offered formal training</w:t>
      </w:r>
      <w:r w:rsidR="002731ED">
        <w:t xml:space="preserve">. </w:t>
      </w:r>
      <w:r w:rsidR="007F6372">
        <w:t xml:space="preserve"> </w:t>
      </w:r>
      <w:r w:rsidR="002731ED">
        <w:t xml:space="preserve">Remaining untrained staff, </w:t>
      </w:r>
      <w:r w:rsidR="002B4DA6">
        <w:t>including</w:t>
      </w:r>
      <w:r w:rsidR="002731ED">
        <w:t xml:space="preserve"> new starte</w:t>
      </w:r>
      <w:r w:rsidR="00FF4EE4">
        <w:t xml:space="preserve">rs </w:t>
      </w:r>
      <w:r w:rsidR="002731ED">
        <w:t>and PGCert graduates, will be offered</w:t>
      </w:r>
      <w:r w:rsidR="002B4DA6">
        <w:t xml:space="preserve"> </w:t>
      </w:r>
      <w:r w:rsidR="002731ED">
        <w:t>observer training</w:t>
      </w:r>
      <w:r w:rsidR="002B4DA6">
        <w:t xml:space="preserve"> through online resources</w:t>
      </w:r>
      <w:r w:rsidR="00E36BCB">
        <w:t xml:space="preserve"> in future</w:t>
      </w:r>
      <w:r w:rsidR="002731ED">
        <w:t>.</w:t>
      </w:r>
      <w:r w:rsidR="00903E2F">
        <w:t xml:space="preserve"> </w:t>
      </w:r>
    </w:p>
    <w:p w:rsidR="002731ED" w:rsidRDefault="00662CF4" w:rsidP="00FF4EE4">
      <w:pPr>
        <w:pStyle w:val="Heading1"/>
      </w:pPr>
      <w:r>
        <w:lastRenderedPageBreak/>
        <w:t>C</w:t>
      </w:r>
      <w:r w:rsidR="00D5467A" w:rsidRPr="00EE4942">
        <w:t>omments</w:t>
      </w:r>
    </w:p>
    <w:p w:rsidR="00284E81" w:rsidRDefault="002731ED" w:rsidP="002731ED">
      <w:r>
        <w:t xml:space="preserve">Comments from </w:t>
      </w:r>
      <w:r w:rsidR="00D42B77">
        <w:t xml:space="preserve">the </w:t>
      </w:r>
      <w:r>
        <w:t>1</w:t>
      </w:r>
      <w:r w:rsidR="003301E7">
        <w:t>1</w:t>
      </w:r>
      <w:r>
        <w:t xml:space="preserve"> </w:t>
      </w:r>
      <w:r w:rsidR="00D42B77">
        <w:t xml:space="preserve">Faculty </w:t>
      </w:r>
      <w:r>
        <w:t>PG</w:t>
      </w:r>
      <w:r w:rsidR="002B4DA6">
        <w:t>C</w:t>
      </w:r>
      <w:r>
        <w:t xml:space="preserve">ert observations remain confidential and are not considered here.  </w:t>
      </w:r>
      <w:r w:rsidR="002318C8">
        <w:t xml:space="preserve">Over </w:t>
      </w:r>
      <w:r w:rsidR="00046744" w:rsidRPr="00046744">
        <w:t>5000</w:t>
      </w:r>
      <w:r w:rsidR="002318C8" w:rsidRPr="00046744">
        <w:t xml:space="preserve"> </w:t>
      </w:r>
      <w:r w:rsidR="002318C8">
        <w:t>words of c</w:t>
      </w:r>
      <w:r w:rsidR="00284E81">
        <w:t xml:space="preserve">omments </w:t>
      </w:r>
      <w:r w:rsidR="002318C8">
        <w:t xml:space="preserve">have been </w:t>
      </w:r>
      <w:r w:rsidR="00284E81">
        <w:t>c</w:t>
      </w:r>
      <w:r w:rsidR="00D5467A">
        <w:t xml:space="preserve">ollated from </w:t>
      </w:r>
      <w:r w:rsidR="003434D2">
        <w:t>82</w:t>
      </w:r>
      <w:r>
        <w:t xml:space="preserve"> Faculty observation </w:t>
      </w:r>
      <w:r w:rsidR="00D5467A">
        <w:t>form</w:t>
      </w:r>
      <w:r>
        <w:t>s</w:t>
      </w:r>
      <w:r w:rsidR="00D5467A">
        <w:t xml:space="preserve"> </w:t>
      </w:r>
      <w:r w:rsidR="00990B95">
        <w:t>and</w:t>
      </w:r>
      <w:r w:rsidR="00284E81">
        <w:t xml:space="preserve"> </w:t>
      </w:r>
      <w:r w:rsidR="00A92A46">
        <w:t xml:space="preserve">these </w:t>
      </w:r>
      <w:r w:rsidR="003B2FA5">
        <w:t xml:space="preserve">have been redacted for staff names and </w:t>
      </w:r>
      <w:r w:rsidR="00284E81">
        <w:t xml:space="preserve">are </w:t>
      </w:r>
      <w:r w:rsidR="00BC369F">
        <w:t>shown</w:t>
      </w:r>
      <w:r w:rsidR="00284E81">
        <w:t xml:space="preserve"> in </w:t>
      </w:r>
      <w:r w:rsidR="002318C8">
        <w:t xml:space="preserve">the </w:t>
      </w:r>
      <w:hyperlink r:id="rId11" w:history="1">
        <w:r w:rsidR="002318C8" w:rsidRPr="008B0F53">
          <w:rPr>
            <w:rStyle w:val="Hyperlink"/>
          </w:rPr>
          <w:t>Appendices</w:t>
        </w:r>
      </w:hyperlink>
      <w:r w:rsidR="008B0F53">
        <w:t>.</w:t>
      </w:r>
    </w:p>
    <w:p w:rsidR="00E06484" w:rsidRDefault="00192EAD" w:rsidP="0017198E">
      <w:pPr>
        <w:pStyle w:val="Heading2"/>
      </w:pPr>
      <w:r w:rsidRPr="00EE4942">
        <w:t>Issues beyond control of observe</w:t>
      </w:r>
      <w:r w:rsidR="00D02C4F" w:rsidRPr="00EE4942">
        <w:t>e</w:t>
      </w:r>
      <w:r w:rsidR="008C78CE" w:rsidRPr="00EE4942">
        <w:t xml:space="preserve"> </w:t>
      </w:r>
    </w:p>
    <w:p w:rsidR="00E06484" w:rsidRDefault="007F6372" w:rsidP="003E4115">
      <w:pPr>
        <w:spacing w:before="40" w:after="40"/>
      </w:pPr>
      <w:r>
        <w:t xml:space="preserve">Issues </w:t>
      </w:r>
      <w:r w:rsidR="006131D5">
        <w:t>are assigned to</w:t>
      </w:r>
      <w:r>
        <w:t xml:space="preserve"> five</w:t>
      </w:r>
      <w:r w:rsidR="006131D5">
        <w:t xml:space="preserve"> identified</w:t>
      </w:r>
      <w:r>
        <w:t xml:space="preserve"> themes and the proportion of sessions reporting an issue is shown (with last year’s figure in brackets).  Overall, issues </w:t>
      </w:r>
      <w:r w:rsidR="00E06484">
        <w:t>were reported in 3</w:t>
      </w:r>
      <w:r>
        <w:t>5</w:t>
      </w:r>
      <w:r w:rsidR="00E06484">
        <w:t>%</w:t>
      </w:r>
      <w:r>
        <w:t xml:space="preserve"> (33%)</w:t>
      </w:r>
      <w:r w:rsidR="00E06484">
        <w:t xml:space="preserve"> of sessions</w:t>
      </w:r>
      <w:r>
        <w:t>.</w:t>
      </w:r>
      <w:r w:rsidR="00E06484">
        <w:t xml:space="preserve"> </w:t>
      </w:r>
    </w:p>
    <w:p w:rsidR="00E06484" w:rsidRDefault="00E06484" w:rsidP="003E4115">
      <w:pPr>
        <w:pStyle w:val="ListParagraph"/>
        <w:numPr>
          <w:ilvl w:val="0"/>
          <w:numId w:val="2"/>
        </w:numPr>
        <w:spacing w:before="40" w:after="40"/>
        <w:ind w:left="360"/>
      </w:pPr>
      <w:r>
        <w:t>Noise</w:t>
      </w:r>
      <w:r w:rsidR="007F6372">
        <w:t>,</w:t>
      </w:r>
      <w:r>
        <w:t xml:space="preserve"> </w:t>
      </w:r>
      <w:r w:rsidR="007F6372">
        <w:t xml:space="preserve">5% </w:t>
      </w:r>
      <w:r>
        <w:t>(6%): Reported to Estates</w:t>
      </w:r>
    </w:p>
    <w:p w:rsidR="007F6372" w:rsidRPr="007F6372" w:rsidRDefault="007F6372" w:rsidP="007F6372">
      <w:pPr>
        <w:spacing w:before="40" w:after="40"/>
        <w:rPr>
          <w:i/>
        </w:rPr>
      </w:pPr>
      <w:r>
        <w:t xml:space="preserve">e.g. </w:t>
      </w:r>
      <w:r w:rsidRPr="007F6372">
        <w:t xml:space="preserve">BS/310 </w:t>
      </w:r>
      <w:r w:rsidRPr="007F6372">
        <w:rPr>
          <w:i/>
        </w:rPr>
        <w:t>“1) Water sound rushing through the pipes was quite audible. 2) Student noise outside in corridor was distracting.”</w:t>
      </w:r>
    </w:p>
    <w:p w:rsidR="00E06484" w:rsidRDefault="00E06484" w:rsidP="003E4115">
      <w:pPr>
        <w:pStyle w:val="ListParagraph"/>
        <w:numPr>
          <w:ilvl w:val="0"/>
          <w:numId w:val="2"/>
        </w:numPr>
        <w:spacing w:before="40" w:after="40"/>
        <w:ind w:left="360"/>
      </w:pPr>
      <w:r>
        <w:t>Classroom design</w:t>
      </w:r>
      <w:r w:rsidR="007F6372">
        <w:t>,</w:t>
      </w:r>
      <w:r>
        <w:t xml:space="preserve"> </w:t>
      </w:r>
      <w:r w:rsidR="007F6372">
        <w:t xml:space="preserve">6% </w:t>
      </w:r>
      <w:r>
        <w:t>(</w:t>
      </w:r>
      <w:r w:rsidR="00662BA7">
        <w:t>8</w:t>
      </w:r>
      <w:r>
        <w:t xml:space="preserve">%): </w:t>
      </w:r>
      <w:r w:rsidR="00825C5A">
        <w:t>Reported to Estates</w:t>
      </w:r>
    </w:p>
    <w:p w:rsidR="007F6372" w:rsidRPr="007F6372" w:rsidRDefault="007F6372" w:rsidP="007F6372">
      <w:pPr>
        <w:spacing w:before="40" w:after="40"/>
        <w:rPr>
          <w:i/>
        </w:rPr>
      </w:pPr>
      <w:r w:rsidRPr="007F6372">
        <w:t xml:space="preserve">e.g. HC/123  </w:t>
      </w:r>
      <w:r w:rsidRPr="007F6372">
        <w:rPr>
          <w:i/>
        </w:rPr>
        <w:t>“The lecture theatre has cement posts between students and lecturer which makes interaction with the whole room impossible.”</w:t>
      </w:r>
    </w:p>
    <w:p w:rsidR="00825C5A" w:rsidRDefault="00825C5A" w:rsidP="007F6372">
      <w:pPr>
        <w:pStyle w:val="ListParagraph"/>
        <w:numPr>
          <w:ilvl w:val="0"/>
          <w:numId w:val="2"/>
        </w:numPr>
        <w:spacing w:before="40" w:after="40"/>
        <w:ind w:left="357" w:hanging="357"/>
      </w:pPr>
      <w:r w:rsidRPr="007F6372">
        <w:t>Temperature</w:t>
      </w:r>
      <w:r w:rsidR="007F6372">
        <w:t>,</w:t>
      </w:r>
      <w:r w:rsidRPr="007F6372">
        <w:t xml:space="preserve"> </w:t>
      </w:r>
      <w:r w:rsidR="007F6372">
        <w:t xml:space="preserve">10% </w:t>
      </w:r>
      <w:r w:rsidRPr="007F6372">
        <w:t>(</w:t>
      </w:r>
      <w:r w:rsidR="00992DB0" w:rsidRPr="007F6372">
        <w:t>9</w:t>
      </w:r>
      <w:r w:rsidRPr="007F6372">
        <w:t>%): Reported to Estates</w:t>
      </w:r>
    </w:p>
    <w:p w:rsidR="007F6372" w:rsidRPr="007F6372" w:rsidRDefault="007F6372" w:rsidP="007F6372">
      <w:pPr>
        <w:spacing w:before="40" w:after="40"/>
        <w:rPr>
          <w:i/>
        </w:rPr>
      </w:pPr>
      <w:r>
        <w:t xml:space="preserve">e.g. </w:t>
      </w:r>
      <w:r w:rsidRPr="007F6372">
        <w:t xml:space="preserve">HC/167 </w:t>
      </w:r>
      <w:r>
        <w:t>“</w:t>
      </w:r>
      <w:r w:rsidRPr="007F6372">
        <w:rPr>
          <w:i/>
        </w:rPr>
        <w:t>The room was a bit airless and some of the students clearly found it difficult to concentrate through the whole lecture. A couple of open windows might have helped – but these are poor rooms in which to teach.</w:t>
      </w:r>
      <w:r>
        <w:rPr>
          <w:i/>
        </w:rPr>
        <w:t>”</w:t>
      </w:r>
    </w:p>
    <w:p w:rsidR="00825C5A" w:rsidRDefault="00825C5A" w:rsidP="003E4115">
      <w:pPr>
        <w:pStyle w:val="ListParagraph"/>
        <w:numPr>
          <w:ilvl w:val="0"/>
          <w:numId w:val="2"/>
        </w:numPr>
        <w:spacing w:before="40" w:after="40"/>
        <w:ind w:left="360"/>
      </w:pPr>
      <w:r w:rsidRPr="00825C5A">
        <w:t>Anthropogenic</w:t>
      </w:r>
      <w:r w:rsidR="007F6372">
        <w:t>,</w:t>
      </w:r>
      <w:r>
        <w:t xml:space="preserve"> </w:t>
      </w:r>
      <w:r w:rsidR="007F6372">
        <w:t xml:space="preserve">1% </w:t>
      </w:r>
      <w:r>
        <w:t>(</w:t>
      </w:r>
      <w:r w:rsidR="007F6372">
        <w:t>3</w:t>
      </w:r>
      <w:r>
        <w:t>%)</w:t>
      </w:r>
      <w:r w:rsidR="008F72F2">
        <w:t xml:space="preserve">: Reported to </w:t>
      </w:r>
      <w:r w:rsidR="007F6372">
        <w:t>SCS Technical Manager</w:t>
      </w:r>
    </w:p>
    <w:p w:rsidR="007F6372" w:rsidRPr="00D67305" w:rsidRDefault="007F6372" w:rsidP="007F6372">
      <w:pPr>
        <w:spacing w:before="40" w:after="40"/>
        <w:rPr>
          <w:i/>
        </w:rPr>
      </w:pPr>
      <w:r w:rsidRPr="00D67305">
        <w:rPr>
          <w:i/>
        </w:rPr>
        <w:t xml:space="preserve">“Technicians walked in front of </w:t>
      </w:r>
      <w:r w:rsidR="00D67305" w:rsidRPr="00D67305">
        <w:rPr>
          <w:i/>
        </w:rPr>
        <w:t>X</w:t>
      </w:r>
      <w:r w:rsidRPr="00D67305">
        <w:rPr>
          <w:i/>
        </w:rPr>
        <w:t xml:space="preserve"> during her introduction several times to collect things for the other class which I found to be disruptive and inappropriate.</w:t>
      </w:r>
      <w:r w:rsidR="006131D5">
        <w:rPr>
          <w:i/>
        </w:rPr>
        <w:t>”</w:t>
      </w:r>
    </w:p>
    <w:p w:rsidR="00825C5A" w:rsidRDefault="00825C5A" w:rsidP="007F6372">
      <w:pPr>
        <w:pStyle w:val="ListParagraph"/>
        <w:numPr>
          <w:ilvl w:val="0"/>
          <w:numId w:val="2"/>
        </w:numPr>
        <w:spacing w:before="40" w:after="40"/>
        <w:ind w:left="357" w:hanging="357"/>
      </w:pPr>
      <w:r>
        <w:t>Timetabling</w:t>
      </w:r>
      <w:r w:rsidR="00D67305">
        <w:t>,</w:t>
      </w:r>
      <w:r>
        <w:t xml:space="preserve"> </w:t>
      </w:r>
      <w:r w:rsidR="00D67305">
        <w:t xml:space="preserve">6% </w:t>
      </w:r>
      <w:r>
        <w:t>(3%)</w:t>
      </w:r>
      <w:r w:rsidR="009404E1">
        <w:t xml:space="preserve"> Reported to SCS Timetabling officer</w:t>
      </w:r>
    </w:p>
    <w:p w:rsidR="00D67305" w:rsidRDefault="00D67305" w:rsidP="00D67305">
      <w:pPr>
        <w:spacing w:before="40" w:after="40"/>
        <w:rPr>
          <w:i/>
        </w:rPr>
      </w:pPr>
      <w:r>
        <w:t>e.g. BS/327 “</w:t>
      </w:r>
      <w:r w:rsidRPr="00D67305">
        <w:rPr>
          <w:i/>
        </w:rPr>
        <w:t>Room wasn’t conducive to aspects of the session which required small group work.</w:t>
      </w:r>
      <w:r>
        <w:rPr>
          <w:i/>
        </w:rPr>
        <w:t>”</w:t>
      </w:r>
      <w:r w:rsidRPr="00D67305">
        <w:rPr>
          <w:i/>
        </w:rPr>
        <w:t xml:space="preserve"> </w:t>
      </w:r>
    </w:p>
    <w:p w:rsidR="00825C5A" w:rsidRDefault="00825C5A" w:rsidP="00D67305">
      <w:pPr>
        <w:pStyle w:val="ListParagraph"/>
        <w:numPr>
          <w:ilvl w:val="0"/>
          <w:numId w:val="2"/>
        </w:numPr>
        <w:spacing w:before="40" w:after="40"/>
        <w:ind w:left="357" w:hanging="357"/>
      </w:pPr>
      <w:r w:rsidRPr="00825C5A">
        <w:t>Classroom AV and fittings</w:t>
      </w:r>
      <w:r>
        <w:t xml:space="preserve"> </w:t>
      </w:r>
      <w:r w:rsidR="00D67305">
        <w:t xml:space="preserve">11%, </w:t>
      </w:r>
      <w:r>
        <w:t>(1</w:t>
      </w:r>
      <w:r w:rsidR="00992DB0">
        <w:t>1</w:t>
      </w:r>
      <w:r>
        <w:t>%): Reported to Byrom-AV</w:t>
      </w:r>
      <w:r w:rsidR="00A92A46">
        <w:t>IT</w:t>
      </w:r>
    </w:p>
    <w:p w:rsidR="00D67305" w:rsidRPr="009D007C" w:rsidRDefault="00D67305" w:rsidP="003E4115">
      <w:pPr>
        <w:spacing w:before="40" w:after="40"/>
        <w:rPr>
          <w:i/>
        </w:rPr>
      </w:pPr>
      <w:r w:rsidRPr="00D67305">
        <w:t>e.g. BS/307</w:t>
      </w:r>
      <w:r w:rsidRPr="00D67305">
        <w:rPr>
          <w:i/>
        </w:rPr>
        <w:t xml:space="preserve"> </w:t>
      </w:r>
      <w:r>
        <w:rPr>
          <w:i/>
        </w:rPr>
        <w:t>“</w:t>
      </w:r>
      <w:r w:rsidRPr="00D67305">
        <w:rPr>
          <w:i/>
        </w:rPr>
        <w:t>Slow rebooting of the computer system caused by upgrade to Windows 10 across the school.</w:t>
      </w:r>
      <w:r>
        <w:rPr>
          <w:i/>
        </w:rPr>
        <w:t>”</w:t>
      </w:r>
    </w:p>
    <w:p w:rsidR="00825C5A" w:rsidRPr="0017198E" w:rsidRDefault="004C33E4" w:rsidP="0017198E">
      <w:pPr>
        <w:pStyle w:val="Heading2"/>
      </w:pPr>
      <w:r w:rsidRPr="0017198E">
        <w:t>Features of good practice observed</w:t>
      </w:r>
    </w:p>
    <w:p w:rsidR="00046744" w:rsidRDefault="001F3E83" w:rsidP="00E4162A">
      <w:pPr>
        <w:spacing w:before="40" w:after="40"/>
      </w:pPr>
      <w:r>
        <w:t xml:space="preserve">These were reported in </w:t>
      </w:r>
      <w:r w:rsidR="00E4162A">
        <w:t xml:space="preserve">86% </w:t>
      </w:r>
      <w:r w:rsidR="00AD2F33">
        <w:t>(</w:t>
      </w:r>
      <w:r>
        <w:t>70%</w:t>
      </w:r>
      <w:r w:rsidR="00AD2F33">
        <w:t>)</w:t>
      </w:r>
      <w:r>
        <w:t xml:space="preserve"> of sessions and fall into</w:t>
      </w:r>
      <w:r w:rsidR="009842B8">
        <w:t xml:space="preserve"> </w:t>
      </w:r>
      <w:r w:rsidR="00DF6E32">
        <w:t xml:space="preserve">themes around </w:t>
      </w:r>
      <w:r w:rsidR="00E4162A">
        <w:t>s</w:t>
      </w:r>
      <w:r w:rsidR="005065DD">
        <w:t>tructure</w:t>
      </w:r>
      <w:r w:rsidR="00E4162A">
        <w:t xml:space="preserve">, </w:t>
      </w:r>
      <w:r w:rsidR="00FF4EE4">
        <w:t xml:space="preserve">student involvement, </w:t>
      </w:r>
      <w:r w:rsidR="00E4162A">
        <w:t>use of t</w:t>
      </w:r>
      <w:r w:rsidR="005065DD">
        <w:t>echnology</w:t>
      </w:r>
      <w:r w:rsidR="00E4162A">
        <w:t>, staf</w:t>
      </w:r>
      <w:r w:rsidR="00AE0234">
        <w:t>f</w:t>
      </w:r>
      <w:r w:rsidR="00E4162A">
        <w:t xml:space="preserve">-related attributes and </w:t>
      </w:r>
      <w:r w:rsidR="00D42B77">
        <w:t xml:space="preserve">sessions </w:t>
      </w:r>
      <w:r w:rsidR="00E4162A">
        <w:t>being r</w:t>
      </w:r>
      <w:r w:rsidR="009842B8">
        <w:t>esearch and</w:t>
      </w:r>
      <w:r w:rsidR="006131D5">
        <w:t>/or</w:t>
      </w:r>
      <w:r w:rsidR="009842B8">
        <w:t xml:space="preserve"> </w:t>
      </w:r>
      <w:r w:rsidR="00E4162A">
        <w:t>p</w:t>
      </w:r>
      <w:r w:rsidR="009842B8">
        <w:t>ractice-informed</w:t>
      </w:r>
      <w:r w:rsidR="00E4162A">
        <w:t>.</w:t>
      </w:r>
    </w:p>
    <w:p w:rsidR="00046744" w:rsidRPr="00FF4EE4" w:rsidRDefault="00AE0234" w:rsidP="00FF4EE4">
      <w:pPr>
        <w:pStyle w:val="ListParagraph"/>
        <w:numPr>
          <w:ilvl w:val="0"/>
          <w:numId w:val="2"/>
        </w:numPr>
        <w:spacing w:before="40" w:after="40"/>
        <w:ind w:left="357" w:hanging="357"/>
        <w:rPr>
          <w:i/>
        </w:rPr>
      </w:pPr>
      <w:r w:rsidRPr="00AE0234">
        <w:t xml:space="preserve">NSP: </w:t>
      </w:r>
      <w:r w:rsidRPr="00FF4EE4">
        <w:rPr>
          <w:i/>
        </w:rPr>
        <w:t>“The information-presentation-followed-by-a-question style of X is very good and could be a model for other lectures. She repeatedly presented a single slide with instructional content directly followed by a question that forced students to apply the presented information to answer the question.”</w:t>
      </w:r>
    </w:p>
    <w:p w:rsidR="00AE0234" w:rsidRPr="00DF10EE" w:rsidRDefault="00AE0234" w:rsidP="00FF4EE4">
      <w:pPr>
        <w:pStyle w:val="ListParagraph"/>
        <w:numPr>
          <w:ilvl w:val="0"/>
          <w:numId w:val="2"/>
        </w:numPr>
        <w:ind w:left="357" w:hanging="357"/>
      </w:pPr>
      <w:r w:rsidRPr="00DF10EE">
        <w:t xml:space="preserve">NSP: </w:t>
      </w:r>
      <w:r w:rsidRPr="00FF4EE4">
        <w:rPr>
          <w:i/>
        </w:rPr>
        <w:t>“Relating a topic to real-life examples and getting students to think about it before presenting academic research is definitely good practice. “</w:t>
      </w:r>
    </w:p>
    <w:p w:rsidR="00AE0234" w:rsidRPr="00DF10EE" w:rsidRDefault="00AE0234" w:rsidP="00FF4EE4">
      <w:pPr>
        <w:pStyle w:val="ListParagraph"/>
        <w:numPr>
          <w:ilvl w:val="0"/>
          <w:numId w:val="2"/>
        </w:numPr>
        <w:ind w:left="357" w:hanging="357"/>
      </w:pPr>
      <w:r w:rsidRPr="00DF10EE">
        <w:t>PBS:</w:t>
      </w:r>
      <w:r>
        <w:t xml:space="preserve"> </w:t>
      </w:r>
      <w:r w:rsidRPr="00FF4EE4">
        <w:rPr>
          <w:i/>
        </w:rPr>
        <w:t>“Inclusive and interactive nature of the lecture was impressive. It was achieved by the use of interspersed problems for reinforcement of the students’ understanding. This was particularly important because of the complex content of the lecture material.”</w:t>
      </w:r>
    </w:p>
    <w:p w:rsidR="00AE0234" w:rsidRPr="00DF10EE" w:rsidRDefault="00AE0234" w:rsidP="00FF4EE4">
      <w:pPr>
        <w:pStyle w:val="ListParagraph"/>
        <w:numPr>
          <w:ilvl w:val="0"/>
          <w:numId w:val="2"/>
        </w:numPr>
        <w:ind w:left="357" w:hanging="357"/>
      </w:pPr>
      <w:r w:rsidRPr="00DF10EE">
        <w:t xml:space="preserve">PBS: </w:t>
      </w:r>
      <w:r w:rsidRPr="00FF4EE4">
        <w:rPr>
          <w:i/>
        </w:rPr>
        <w:t>“The link between science and practice was excellent and aligned well with the integrative stance of the remodelled MPharm degree here at LJMU.”</w:t>
      </w:r>
    </w:p>
    <w:p w:rsidR="00AE0234" w:rsidRPr="00DF10EE" w:rsidRDefault="006131D5" w:rsidP="00FF4EE4">
      <w:pPr>
        <w:pStyle w:val="ListParagraph"/>
        <w:numPr>
          <w:ilvl w:val="0"/>
          <w:numId w:val="2"/>
        </w:numPr>
        <w:ind w:left="357" w:hanging="357"/>
      </w:pPr>
      <w:r>
        <w:t xml:space="preserve">SPS: </w:t>
      </w:r>
      <w:r w:rsidR="00AE0234" w:rsidRPr="00FF4EE4">
        <w:rPr>
          <w:i/>
        </w:rPr>
        <w:t xml:space="preserve">“The delivery style was of high quality (clear, up-to-date, limited text on the slides, engaging presentation involving the active participation of the students trough different tasks in small </w:t>
      </w:r>
      <w:r w:rsidR="00AE0234" w:rsidRPr="00FF4EE4">
        <w:rPr>
          <w:i/>
        </w:rPr>
        <w:lastRenderedPageBreak/>
        <w:t>groups). More specifically the students had a clear explanation of the learning outcomes at the beginning of the lecture and received clear definitions of Key terms throughout the lecture.”</w:t>
      </w:r>
      <w:r w:rsidR="00AE0234" w:rsidRPr="00DF10EE">
        <w:t xml:space="preserve"> </w:t>
      </w:r>
    </w:p>
    <w:p w:rsidR="00AE0234" w:rsidRPr="00FF4EE4" w:rsidRDefault="00AE0234" w:rsidP="00FF4EE4">
      <w:pPr>
        <w:pStyle w:val="ListParagraph"/>
        <w:numPr>
          <w:ilvl w:val="0"/>
          <w:numId w:val="2"/>
        </w:numPr>
        <w:ind w:left="357" w:hanging="357"/>
        <w:rPr>
          <w:i/>
        </w:rPr>
      </w:pPr>
      <w:r w:rsidRPr="00DF10EE">
        <w:t xml:space="preserve">SPS: </w:t>
      </w:r>
      <w:r>
        <w:t>“</w:t>
      </w:r>
      <w:r w:rsidRPr="00FF4EE4">
        <w:rPr>
          <w:i/>
        </w:rPr>
        <w:t>The delivery was clear and engaging, despite the complexity of the subject-matter. The students were clearly at ease and the lecturer was approachable. Students felt free to ask questions to clarify the subject-matter. The lecture showed clearly how the active engagement of the students by an enthusiastic and eloquent lecturer can help communicate complex material and ideas.”</w:t>
      </w:r>
    </w:p>
    <w:p w:rsidR="00FF4EE4" w:rsidRDefault="00FF4EE4" w:rsidP="0017198E">
      <w:pPr>
        <w:pStyle w:val="Heading2"/>
      </w:pPr>
    </w:p>
    <w:p w:rsidR="003E4115" w:rsidRDefault="003E4115" w:rsidP="0017198E">
      <w:pPr>
        <w:pStyle w:val="Heading2"/>
      </w:pPr>
      <w:r>
        <w:t>Dissemination of good practice</w:t>
      </w:r>
    </w:p>
    <w:p w:rsidR="0026554E" w:rsidRDefault="00A4585A" w:rsidP="0083349D">
      <w:pPr>
        <w:spacing w:before="40" w:after="40"/>
      </w:pPr>
      <w:r>
        <w:t>A</w:t>
      </w:r>
      <w:r w:rsidR="0026554E">
        <w:t xml:space="preserve"> common theme </w:t>
      </w:r>
      <w:r>
        <w:t xml:space="preserve">emerges from returned comments </w:t>
      </w:r>
      <w:r w:rsidR="0026554E">
        <w:t xml:space="preserve">around the educational effectiveness of </w:t>
      </w:r>
      <w:r w:rsidR="00FE196C">
        <w:t>providing</w:t>
      </w:r>
      <w:r w:rsidR="0026554E">
        <w:t xml:space="preserve"> variety during ‘lecture’ type sessions. This principle was exemplified by </w:t>
      </w:r>
      <w:r w:rsidR="00FE196C">
        <w:t>a</w:t>
      </w:r>
      <w:r w:rsidR="0026554E">
        <w:t xml:space="preserve"> staff comment, </w:t>
      </w:r>
    </w:p>
    <w:p w:rsidR="00C73E27" w:rsidRDefault="0026554E" w:rsidP="00C73E27">
      <w:pPr>
        <w:spacing w:before="120"/>
        <w:rPr>
          <w:i/>
        </w:rPr>
      </w:pPr>
      <w:r w:rsidRPr="0026554E">
        <w:rPr>
          <w:i/>
        </w:rPr>
        <w:t>“Using different engagement strategies during a session ensures the inclusion of students with different personalities and learning strategies.”</w:t>
      </w:r>
      <w:r>
        <w:rPr>
          <w:i/>
        </w:rPr>
        <w:t xml:space="preserve"> </w:t>
      </w:r>
    </w:p>
    <w:p w:rsidR="0026554E" w:rsidRPr="0026554E" w:rsidRDefault="0026554E" w:rsidP="0026554E">
      <w:pPr>
        <w:spacing w:before="40" w:after="40"/>
      </w:pPr>
      <w:r>
        <w:t xml:space="preserve">Variety in lecture teaching was </w:t>
      </w:r>
      <w:r w:rsidR="00C73E27">
        <w:t>evident</w:t>
      </w:r>
      <w:r>
        <w:t xml:space="preserve"> in a number of ways, listed below (with allied topics</w:t>
      </w:r>
      <w:r w:rsidR="00A4585A">
        <w:t xml:space="preserve"> mentioned in Form Bs and</w:t>
      </w:r>
      <w:r>
        <w:t xml:space="preserve"> for </w:t>
      </w:r>
      <w:r w:rsidR="00A4585A">
        <w:t>dissemination</w:t>
      </w:r>
      <w:r>
        <w:t xml:space="preserve"> in brackets).</w:t>
      </w:r>
    </w:p>
    <w:p w:rsidR="009B024B" w:rsidRDefault="00A4585A" w:rsidP="00C73E27">
      <w:pPr>
        <w:pStyle w:val="ListParagraph"/>
        <w:numPr>
          <w:ilvl w:val="0"/>
          <w:numId w:val="2"/>
        </w:numPr>
        <w:spacing w:before="40" w:after="40"/>
      </w:pPr>
      <w:r>
        <w:t xml:space="preserve">Creative use of </w:t>
      </w:r>
      <w:r w:rsidR="009B024B" w:rsidRPr="00DF10EE">
        <w:t xml:space="preserve">PowerPoint </w:t>
      </w:r>
      <w:r w:rsidR="005D4830">
        <w:t>(</w:t>
      </w:r>
      <w:r>
        <w:t>Slide design, i</w:t>
      </w:r>
      <w:r w:rsidR="005D4830" w:rsidRPr="00DF10EE">
        <w:t>n-lecture annotation</w:t>
      </w:r>
      <w:r w:rsidR="005D4830">
        <w:t>, presenter view)</w:t>
      </w:r>
    </w:p>
    <w:p w:rsidR="003F5F2D" w:rsidRDefault="0026554E" w:rsidP="00472A72">
      <w:pPr>
        <w:pStyle w:val="ListParagraph"/>
        <w:numPr>
          <w:ilvl w:val="0"/>
          <w:numId w:val="2"/>
        </w:numPr>
        <w:spacing w:before="40" w:after="40"/>
      </w:pPr>
      <w:r>
        <w:t>Compelling use of</w:t>
      </w:r>
      <w:r w:rsidR="003F5F2D">
        <w:t xml:space="preserve"> images</w:t>
      </w:r>
      <w:r w:rsidR="00C73E27">
        <w:t xml:space="preserve"> and video (sourcing, copyright issues</w:t>
      </w:r>
      <w:r w:rsidR="005D4830">
        <w:t>, integration, live video facilities</w:t>
      </w:r>
      <w:r w:rsidR="00C73E27">
        <w:t>, animations</w:t>
      </w:r>
      <w:r w:rsidR="005D4830">
        <w:t>)</w:t>
      </w:r>
    </w:p>
    <w:p w:rsidR="009B024B" w:rsidRDefault="00C73E27" w:rsidP="00C73E27">
      <w:pPr>
        <w:pStyle w:val="ListParagraph"/>
        <w:numPr>
          <w:ilvl w:val="0"/>
          <w:numId w:val="2"/>
        </w:numPr>
        <w:spacing w:before="40" w:after="40"/>
      </w:pPr>
      <w:r>
        <w:t>In situ content development</w:t>
      </w:r>
      <w:r w:rsidR="005D4830">
        <w:t xml:space="preserve"> (</w:t>
      </w:r>
      <w:r>
        <w:t>whiteboards, MS Paint, visualisers</w:t>
      </w:r>
      <w:r w:rsidR="007226AB">
        <w:t>, archiving of in situ content</w:t>
      </w:r>
      <w:r w:rsidR="005D4830">
        <w:t>)</w:t>
      </w:r>
    </w:p>
    <w:p w:rsidR="005D4830" w:rsidRDefault="005D4830" w:rsidP="00C73E27">
      <w:pPr>
        <w:pStyle w:val="ListParagraph"/>
        <w:numPr>
          <w:ilvl w:val="0"/>
          <w:numId w:val="2"/>
        </w:numPr>
        <w:spacing w:before="40" w:after="40"/>
      </w:pPr>
      <w:r>
        <w:t>Software demonstration</w:t>
      </w:r>
      <w:r w:rsidR="00C73E27">
        <w:t>s</w:t>
      </w:r>
      <w:r>
        <w:t xml:space="preserve"> (game breaker, SPSS</w:t>
      </w:r>
      <w:r w:rsidR="00C73E27">
        <w:t>, VLE</w:t>
      </w:r>
      <w:r>
        <w:t>)</w:t>
      </w:r>
    </w:p>
    <w:p w:rsidR="00EB61A1" w:rsidRDefault="007226AB" w:rsidP="00C73E27">
      <w:pPr>
        <w:pStyle w:val="ListParagraph"/>
        <w:numPr>
          <w:ilvl w:val="0"/>
          <w:numId w:val="2"/>
        </w:numPr>
        <w:spacing w:before="40" w:after="40"/>
      </w:pPr>
      <w:r>
        <w:t>Non-didactic methods</w:t>
      </w:r>
      <w:r w:rsidR="00C73E27">
        <w:t xml:space="preserve"> (</w:t>
      </w:r>
      <w:r w:rsidR="00EB61A1" w:rsidRPr="00DF10EE">
        <w:t>problem solving</w:t>
      </w:r>
      <w:r w:rsidR="00C73E27">
        <w:t xml:space="preserve">, </w:t>
      </w:r>
      <w:r w:rsidR="00EB61A1" w:rsidRPr="00DF10EE">
        <w:t>worksheets</w:t>
      </w:r>
      <w:r w:rsidR="00C73E27">
        <w:t>, Q&amp;As, group work, student as facilitator)</w:t>
      </w:r>
    </w:p>
    <w:p w:rsidR="003F5F2D" w:rsidRDefault="00C73E27" w:rsidP="00C73E27">
      <w:pPr>
        <w:pStyle w:val="ListParagraph"/>
        <w:numPr>
          <w:ilvl w:val="0"/>
          <w:numId w:val="2"/>
        </w:numPr>
        <w:spacing w:before="40" w:after="40"/>
      </w:pPr>
      <w:r>
        <w:t>Personal re</w:t>
      </w:r>
      <w:r w:rsidR="007226AB">
        <w:t>s</w:t>
      </w:r>
      <w:r>
        <w:t>ponse systems (Textwall, MeeToo)</w:t>
      </w:r>
    </w:p>
    <w:p w:rsidR="00B20077" w:rsidRDefault="00B20077" w:rsidP="0083349D">
      <w:pPr>
        <w:spacing w:before="40" w:after="40"/>
      </w:pPr>
    </w:p>
    <w:p w:rsidR="007226AB" w:rsidRDefault="007226AB" w:rsidP="0083349D">
      <w:pPr>
        <w:spacing w:before="40" w:after="40"/>
      </w:pPr>
      <w:r>
        <w:t xml:space="preserve">The next Faculty LTA development day will </w:t>
      </w:r>
      <w:r w:rsidR="00A4585A">
        <w:t>explore</w:t>
      </w:r>
      <w:r>
        <w:t xml:space="preserve"> these topics and will </w:t>
      </w:r>
      <w:r w:rsidR="00BF06A1">
        <w:t>feature a practice exchange event to explore the topics above.</w:t>
      </w:r>
      <w:r>
        <w:t xml:space="preserve"> In addition, this</w:t>
      </w:r>
      <w:r w:rsidR="00C73E27">
        <w:t xml:space="preserve"> observation report will be shared with Faculty staff through the LTA website.</w:t>
      </w:r>
    </w:p>
    <w:p w:rsidR="007226AB" w:rsidRDefault="007226AB" w:rsidP="0083349D">
      <w:pPr>
        <w:spacing w:before="40" w:after="40"/>
      </w:pPr>
    </w:p>
    <w:p w:rsidR="007226AB" w:rsidRDefault="007226AB" w:rsidP="007226AB">
      <w:pPr>
        <w:pStyle w:val="Heading2"/>
      </w:pPr>
      <w:r>
        <w:t>Conclusion</w:t>
      </w:r>
    </w:p>
    <w:p w:rsidR="003E4115" w:rsidRDefault="0017198E" w:rsidP="0083349D">
      <w:pPr>
        <w:spacing w:before="40" w:after="40"/>
      </w:pPr>
      <w:r>
        <w:t>The</w:t>
      </w:r>
      <w:r w:rsidR="007226AB">
        <w:t xml:space="preserve"> high participation rates and</w:t>
      </w:r>
      <w:r>
        <w:t xml:space="preserve"> </w:t>
      </w:r>
      <w:r w:rsidR="0083349D">
        <w:t xml:space="preserve">volume of comments </w:t>
      </w:r>
      <w:r w:rsidR="00AD2F33">
        <w:t xml:space="preserve">(5000 words) </w:t>
      </w:r>
      <w:r w:rsidR="0083349D">
        <w:t>return</w:t>
      </w:r>
      <w:r w:rsidR="0035345F">
        <w:t>ed</w:t>
      </w:r>
      <w:r w:rsidR="0083349D">
        <w:t xml:space="preserve"> in Form B indicate that staff engaged with the </w:t>
      </w:r>
      <w:r w:rsidR="00A4585A">
        <w:t>scheme in 2016/17</w:t>
      </w:r>
      <w:r w:rsidR="0083349D">
        <w:t>. This provides sufficient evidence to suggest that the principal objectives of the scheme, “To provide an opportunity for staff to reflect on their practice and to engage academic staff in self-reflection and critical discourse”</w:t>
      </w:r>
      <w:r w:rsidR="003F061E">
        <w:t xml:space="preserve"> are being realised.</w:t>
      </w:r>
      <w:r w:rsidR="0035345F">
        <w:t xml:space="preserve"> </w:t>
      </w:r>
    </w:p>
    <w:p w:rsidR="006664CF" w:rsidRPr="006664CF" w:rsidRDefault="006664CF" w:rsidP="003E4115">
      <w:pPr>
        <w:spacing w:before="40" w:after="40"/>
        <w:jc w:val="right"/>
        <w:rPr>
          <w:b/>
        </w:rPr>
      </w:pPr>
      <w:r w:rsidRPr="006664CF">
        <w:rPr>
          <w:b/>
        </w:rPr>
        <w:t xml:space="preserve">Phil Denton, ADE, </w:t>
      </w:r>
      <w:r w:rsidR="003B2FA5">
        <w:rPr>
          <w:b/>
        </w:rPr>
        <w:t>22</w:t>
      </w:r>
      <w:r w:rsidRPr="006664CF">
        <w:rPr>
          <w:b/>
        </w:rPr>
        <w:t>/</w:t>
      </w:r>
      <w:r w:rsidR="003B2FA5">
        <w:rPr>
          <w:b/>
        </w:rPr>
        <w:t>6</w:t>
      </w:r>
      <w:r w:rsidRPr="006664CF">
        <w:rPr>
          <w:b/>
        </w:rPr>
        <w:t>/16</w:t>
      </w:r>
    </w:p>
    <w:sectPr w:rsidR="006664CF" w:rsidRPr="006664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37" w:rsidRDefault="007E5D37" w:rsidP="00851991">
      <w:r>
        <w:separator/>
      </w:r>
    </w:p>
  </w:endnote>
  <w:endnote w:type="continuationSeparator" w:id="0">
    <w:p w:rsidR="007E5D37" w:rsidRDefault="007E5D37" w:rsidP="0085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37" w:rsidRDefault="007E5D37" w:rsidP="00851991">
      <w:r>
        <w:separator/>
      </w:r>
    </w:p>
  </w:footnote>
  <w:footnote w:type="continuationSeparator" w:id="0">
    <w:p w:rsidR="007E5D37" w:rsidRDefault="007E5D37" w:rsidP="00851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2B8"/>
    <w:multiLevelType w:val="hybridMultilevel"/>
    <w:tmpl w:val="4B08F692"/>
    <w:lvl w:ilvl="0" w:tplc="ECEA892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2D7708"/>
    <w:multiLevelType w:val="hybridMultilevel"/>
    <w:tmpl w:val="B34CF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17AB8"/>
    <w:multiLevelType w:val="hybridMultilevel"/>
    <w:tmpl w:val="527A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768A9"/>
    <w:multiLevelType w:val="hybridMultilevel"/>
    <w:tmpl w:val="3D765A60"/>
    <w:lvl w:ilvl="0" w:tplc="F44EECF0">
      <w:start w:val="2015"/>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1F"/>
    <w:rsid w:val="00017CB3"/>
    <w:rsid w:val="00043B8E"/>
    <w:rsid w:val="00046744"/>
    <w:rsid w:val="00061FE7"/>
    <w:rsid w:val="00066091"/>
    <w:rsid w:val="00096AC1"/>
    <w:rsid w:val="000B06B6"/>
    <w:rsid w:val="000D2624"/>
    <w:rsid w:val="000E615E"/>
    <w:rsid w:val="000F63B8"/>
    <w:rsid w:val="00113ABB"/>
    <w:rsid w:val="00127FF4"/>
    <w:rsid w:val="00157A45"/>
    <w:rsid w:val="00166904"/>
    <w:rsid w:val="0017198E"/>
    <w:rsid w:val="00172B88"/>
    <w:rsid w:val="00192EAD"/>
    <w:rsid w:val="001A0D48"/>
    <w:rsid w:val="001A13CB"/>
    <w:rsid w:val="001B324B"/>
    <w:rsid w:val="001F3E83"/>
    <w:rsid w:val="001F5436"/>
    <w:rsid w:val="00201E4B"/>
    <w:rsid w:val="00213948"/>
    <w:rsid w:val="00221F42"/>
    <w:rsid w:val="002238C6"/>
    <w:rsid w:val="002318C8"/>
    <w:rsid w:val="0026554E"/>
    <w:rsid w:val="002731ED"/>
    <w:rsid w:val="00284E81"/>
    <w:rsid w:val="002B4DA6"/>
    <w:rsid w:val="00305FF2"/>
    <w:rsid w:val="00316728"/>
    <w:rsid w:val="003301E7"/>
    <w:rsid w:val="003434D2"/>
    <w:rsid w:val="00351FAD"/>
    <w:rsid w:val="0035345F"/>
    <w:rsid w:val="003B2FA5"/>
    <w:rsid w:val="003B5105"/>
    <w:rsid w:val="003C068C"/>
    <w:rsid w:val="003E4115"/>
    <w:rsid w:val="003F061E"/>
    <w:rsid w:val="003F5F2D"/>
    <w:rsid w:val="00407593"/>
    <w:rsid w:val="00415A21"/>
    <w:rsid w:val="0044297C"/>
    <w:rsid w:val="00445B04"/>
    <w:rsid w:val="00454BB5"/>
    <w:rsid w:val="00471BF4"/>
    <w:rsid w:val="004A774C"/>
    <w:rsid w:val="004C33E4"/>
    <w:rsid w:val="00504508"/>
    <w:rsid w:val="005065DD"/>
    <w:rsid w:val="00520207"/>
    <w:rsid w:val="00541F71"/>
    <w:rsid w:val="0055522D"/>
    <w:rsid w:val="00560A1E"/>
    <w:rsid w:val="005731E8"/>
    <w:rsid w:val="00587267"/>
    <w:rsid w:val="005C0772"/>
    <w:rsid w:val="005C5AB7"/>
    <w:rsid w:val="005D4830"/>
    <w:rsid w:val="005D731D"/>
    <w:rsid w:val="005F5EF0"/>
    <w:rsid w:val="006131D5"/>
    <w:rsid w:val="00614C1F"/>
    <w:rsid w:val="00620417"/>
    <w:rsid w:val="00662BA7"/>
    <w:rsid w:val="00662CF4"/>
    <w:rsid w:val="006664CF"/>
    <w:rsid w:val="00695C8A"/>
    <w:rsid w:val="006B7803"/>
    <w:rsid w:val="006D2C65"/>
    <w:rsid w:val="00705966"/>
    <w:rsid w:val="007226AB"/>
    <w:rsid w:val="00772A15"/>
    <w:rsid w:val="007B771F"/>
    <w:rsid w:val="007D7B18"/>
    <w:rsid w:val="007E5D37"/>
    <w:rsid w:val="007F6372"/>
    <w:rsid w:val="00803089"/>
    <w:rsid w:val="00804C52"/>
    <w:rsid w:val="00825C5A"/>
    <w:rsid w:val="0083349D"/>
    <w:rsid w:val="00834AC7"/>
    <w:rsid w:val="00851991"/>
    <w:rsid w:val="00860E1F"/>
    <w:rsid w:val="008B0F53"/>
    <w:rsid w:val="008C54EA"/>
    <w:rsid w:val="008C78CE"/>
    <w:rsid w:val="008E435F"/>
    <w:rsid w:val="008F72F2"/>
    <w:rsid w:val="00903E2F"/>
    <w:rsid w:val="00913967"/>
    <w:rsid w:val="00915FE5"/>
    <w:rsid w:val="00926018"/>
    <w:rsid w:val="009404E1"/>
    <w:rsid w:val="009842B8"/>
    <w:rsid w:val="00984A6F"/>
    <w:rsid w:val="00990B95"/>
    <w:rsid w:val="00992DB0"/>
    <w:rsid w:val="009935B6"/>
    <w:rsid w:val="009B024B"/>
    <w:rsid w:val="009B0631"/>
    <w:rsid w:val="009C08C4"/>
    <w:rsid w:val="009D007C"/>
    <w:rsid w:val="009D60A2"/>
    <w:rsid w:val="00A27F7F"/>
    <w:rsid w:val="00A44FE8"/>
    <w:rsid w:val="00A4585A"/>
    <w:rsid w:val="00A47A29"/>
    <w:rsid w:val="00A92A46"/>
    <w:rsid w:val="00AD2F33"/>
    <w:rsid w:val="00AE0234"/>
    <w:rsid w:val="00AE1163"/>
    <w:rsid w:val="00B1025D"/>
    <w:rsid w:val="00B20077"/>
    <w:rsid w:val="00B2086E"/>
    <w:rsid w:val="00B31748"/>
    <w:rsid w:val="00B53F8C"/>
    <w:rsid w:val="00B67D9C"/>
    <w:rsid w:val="00B725E4"/>
    <w:rsid w:val="00B83D4C"/>
    <w:rsid w:val="00BA2C1A"/>
    <w:rsid w:val="00BA7B1A"/>
    <w:rsid w:val="00BB085E"/>
    <w:rsid w:val="00BB229A"/>
    <w:rsid w:val="00BC369F"/>
    <w:rsid w:val="00BF06A1"/>
    <w:rsid w:val="00BF4481"/>
    <w:rsid w:val="00BF5B0A"/>
    <w:rsid w:val="00C0033B"/>
    <w:rsid w:val="00C10A1E"/>
    <w:rsid w:val="00C5730D"/>
    <w:rsid w:val="00C73E27"/>
    <w:rsid w:val="00C83C4F"/>
    <w:rsid w:val="00C85475"/>
    <w:rsid w:val="00C85BEC"/>
    <w:rsid w:val="00CF3CC3"/>
    <w:rsid w:val="00D02C4F"/>
    <w:rsid w:val="00D269A8"/>
    <w:rsid w:val="00D272E5"/>
    <w:rsid w:val="00D42B77"/>
    <w:rsid w:val="00D44319"/>
    <w:rsid w:val="00D5467A"/>
    <w:rsid w:val="00D67305"/>
    <w:rsid w:val="00D9111F"/>
    <w:rsid w:val="00DA77B5"/>
    <w:rsid w:val="00DB3599"/>
    <w:rsid w:val="00DC266B"/>
    <w:rsid w:val="00DD7F1F"/>
    <w:rsid w:val="00DE0983"/>
    <w:rsid w:val="00DF6E32"/>
    <w:rsid w:val="00E06484"/>
    <w:rsid w:val="00E23803"/>
    <w:rsid w:val="00E36BCB"/>
    <w:rsid w:val="00E4162A"/>
    <w:rsid w:val="00E42AC1"/>
    <w:rsid w:val="00E430D0"/>
    <w:rsid w:val="00E46027"/>
    <w:rsid w:val="00E85C07"/>
    <w:rsid w:val="00EA2B0B"/>
    <w:rsid w:val="00EA5FDB"/>
    <w:rsid w:val="00EB61A1"/>
    <w:rsid w:val="00EC03D0"/>
    <w:rsid w:val="00EE4942"/>
    <w:rsid w:val="00F0169D"/>
    <w:rsid w:val="00F2041B"/>
    <w:rsid w:val="00F240FD"/>
    <w:rsid w:val="00F36CCB"/>
    <w:rsid w:val="00F7318D"/>
    <w:rsid w:val="00FA4ADD"/>
    <w:rsid w:val="00FB2852"/>
    <w:rsid w:val="00FE196C"/>
    <w:rsid w:val="00FF4E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1E8185"/>
  <w15:docId w15:val="{BD1E1224-2AAC-459D-AD2A-0263F030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91"/>
    <w:pPr>
      <w:spacing w:after="120"/>
    </w:pPr>
  </w:style>
  <w:style w:type="paragraph" w:styleId="Heading1">
    <w:name w:val="heading 1"/>
    <w:basedOn w:val="Normal"/>
    <w:next w:val="Normal"/>
    <w:link w:val="Heading1Char"/>
    <w:uiPriority w:val="9"/>
    <w:qFormat/>
    <w:rsid w:val="00FF4EE4"/>
    <w:pPr>
      <w:keepNext/>
      <w:keepLines/>
      <w:spacing w:before="240"/>
      <w:outlineLvl w:val="0"/>
    </w:pPr>
    <w:rPr>
      <w:rFonts w:ascii="Arial" w:eastAsiaTheme="majorEastAsia" w:hAnsi="Arial" w:cs="Arial"/>
      <w:b/>
      <w:color w:val="000000" w:themeColor="text1"/>
      <w:sz w:val="24"/>
      <w:szCs w:val="24"/>
    </w:rPr>
  </w:style>
  <w:style w:type="paragraph" w:styleId="Heading2">
    <w:name w:val="heading 2"/>
    <w:basedOn w:val="Normal"/>
    <w:next w:val="Normal"/>
    <w:link w:val="Heading2Char"/>
    <w:uiPriority w:val="9"/>
    <w:unhideWhenUsed/>
    <w:qFormat/>
    <w:rsid w:val="0017198E"/>
    <w:pPr>
      <w:keepNext/>
      <w:keepLines/>
      <w:spacing w:before="120"/>
      <w:outlineLvl w:val="1"/>
    </w:pPr>
    <w:rPr>
      <w:rFonts w:ascii="Arial" w:eastAsiaTheme="majorEastAsia" w:hAnsi="Arial" w:cs="Arial"/>
      <w:b/>
      <w:color w:val="000000" w:themeColor="text1"/>
      <w:sz w:val="24"/>
      <w:szCs w:val="24"/>
    </w:rPr>
  </w:style>
  <w:style w:type="paragraph" w:styleId="Heading3">
    <w:name w:val="heading 3"/>
    <w:basedOn w:val="Normal"/>
    <w:next w:val="Normal"/>
    <w:link w:val="Heading3Char"/>
    <w:uiPriority w:val="9"/>
    <w:unhideWhenUsed/>
    <w:qFormat/>
    <w:rsid w:val="00EE4942"/>
    <w:pPr>
      <w:keepNext/>
      <w:keepLines/>
      <w:spacing w:before="120"/>
      <w:outlineLvl w:val="2"/>
    </w:pPr>
    <w:rPr>
      <w:rFonts w:ascii="Arial" w:eastAsiaTheme="majorEastAsia" w:hAnsi="Arial" w:cs="Arial"/>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5E"/>
  </w:style>
  <w:style w:type="paragraph" w:styleId="Footer">
    <w:name w:val="footer"/>
    <w:basedOn w:val="Normal"/>
    <w:link w:val="FooterChar"/>
    <w:uiPriority w:val="99"/>
    <w:unhideWhenUsed/>
    <w:rsid w:val="000E6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5E"/>
  </w:style>
  <w:style w:type="paragraph" w:styleId="BalloonText">
    <w:name w:val="Balloon Text"/>
    <w:basedOn w:val="Normal"/>
    <w:link w:val="BalloonTextChar"/>
    <w:uiPriority w:val="99"/>
    <w:semiHidden/>
    <w:unhideWhenUsed/>
    <w:rsid w:val="000E6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5E"/>
    <w:rPr>
      <w:rFonts w:ascii="Tahoma" w:hAnsi="Tahoma" w:cs="Tahoma"/>
      <w:sz w:val="16"/>
      <w:szCs w:val="16"/>
    </w:rPr>
  </w:style>
  <w:style w:type="paragraph" w:styleId="ListParagraph">
    <w:name w:val="List Paragraph"/>
    <w:basedOn w:val="Normal"/>
    <w:uiPriority w:val="34"/>
    <w:qFormat/>
    <w:rsid w:val="00772A15"/>
    <w:pPr>
      <w:spacing w:after="160" w:line="259" w:lineRule="auto"/>
      <w:ind w:left="720"/>
      <w:contextualSpacing/>
    </w:pPr>
    <w:rPr>
      <w:lang w:eastAsia="zh-TW"/>
    </w:rPr>
  </w:style>
  <w:style w:type="character" w:styleId="PlaceholderText">
    <w:name w:val="Placeholder Text"/>
    <w:basedOn w:val="DefaultParagraphFont"/>
    <w:uiPriority w:val="99"/>
    <w:semiHidden/>
    <w:rsid w:val="00772A15"/>
    <w:rPr>
      <w:color w:val="808080"/>
    </w:rPr>
  </w:style>
  <w:style w:type="character" w:styleId="Hyperlink">
    <w:name w:val="Hyperlink"/>
    <w:basedOn w:val="DefaultParagraphFont"/>
    <w:uiPriority w:val="99"/>
    <w:unhideWhenUsed/>
    <w:rsid w:val="00772A15"/>
    <w:rPr>
      <w:color w:val="0000FF" w:themeColor="hyperlink"/>
      <w:u w:val="single"/>
    </w:rPr>
  </w:style>
  <w:style w:type="character" w:customStyle="1" w:styleId="Heading1Char">
    <w:name w:val="Heading 1 Char"/>
    <w:basedOn w:val="DefaultParagraphFont"/>
    <w:link w:val="Heading1"/>
    <w:uiPriority w:val="9"/>
    <w:rsid w:val="00FF4EE4"/>
    <w:rPr>
      <w:rFonts w:ascii="Arial" w:eastAsiaTheme="majorEastAsia" w:hAnsi="Arial" w:cs="Arial"/>
      <w:b/>
      <w:color w:val="000000" w:themeColor="text1"/>
      <w:sz w:val="24"/>
      <w:szCs w:val="24"/>
    </w:rPr>
  </w:style>
  <w:style w:type="character" w:customStyle="1" w:styleId="Heading2Char">
    <w:name w:val="Heading 2 Char"/>
    <w:basedOn w:val="DefaultParagraphFont"/>
    <w:link w:val="Heading2"/>
    <w:uiPriority w:val="9"/>
    <w:rsid w:val="0017198E"/>
    <w:rPr>
      <w:rFonts w:ascii="Arial" w:eastAsiaTheme="majorEastAsia" w:hAnsi="Arial" w:cs="Arial"/>
      <w:b/>
      <w:color w:val="000000" w:themeColor="text1"/>
      <w:sz w:val="24"/>
      <w:szCs w:val="24"/>
    </w:rPr>
  </w:style>
  <w:style w:type="character" w:customStyle="1" w:styleId="Heading3Char">
    <w:name w:val="Heading 3 Char"/>
    <w:basedOn w:val="DefaultParagraphFont"/>
    <w:link w:val="Heading3"/>
    <w:uiPriority w:val="9"/>
    <w:rsid w:val="00EE4942"/>
    <w:rPr>
      <w:rFonts w:ascii="Arial" w:eastAsiaTheme="majorEastAsia" w:hAnsi="Arial" w:cs="Arial"/>
      <w:b/>
      <w:i/>
      <w:color w:val="000000" w:themeColor="text1"/>
      <w:sz w:val="24"/>
      <w:szCs w:val="24"/>
    </w:rPr>
  </w:style>
  <w:style w:type="character" w:styleId="FollowedHyperlink">
    <w:name w:val="FollowedHyperlink"/>
    <w:basedOn w:val="DefaultParagraphFont"/>
    <w:uiPriority w:val="99"/>
    <w:semiHidden/>
    <w:unhideWhenUsed/>
    <w:rsid w:val="00284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mu.ac.uk/~/media/sample-sharepoint-libraries/policy-documents/144.pdf?la=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wie.ljmu.ac.uk/FacultyLTA/Actionplansandreports/201617%20Teaching%20Observation%20Scheme%20Report%20Appendices.docx" TargetMode="External"/><Relationship Id="rId5" Type="http://schemas.openxmlformats.org/officeDocument/2006/relationships/webSettings" Target="webSettings.xml"/><Relationship Id="rId10" Type="http://schemas.openxmlformats.org/officeDocument/2006/relationships/hyperlink" Target="http://wowie.ljmu.ac.uk/FacultyLTA/Teachingobservationscheme/TOhome.htm" TargetMode="External"/><Relationship Id="rId4" Type="http://schemas.openxmlformats.org/officeDocument/2006/relationships/settings" Target="settings.xml"/><Relationship Id="rId9" Type="http://schemas.openxmlformats.org/officeDocument/2006/relationships/hyperlink" Target="http://wowie.ljmu.ac.uk/FacultyLTA/Staff%20development%20ev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D2E7-1769-4BB8-A102-4AEF1BEF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Philip</dc:creator>
  <cp:lastModifiedBy>Denton, Philip</cp:lastModifiedBy>
  <cp:revision>14</cp:revision>
  <cp:lastPrinted>2016-11-16T12:51:00Z</cp:lastPrinted>
  <dcterms:created xsi:type="dcterms:W3CDTF">2018-01-25T15:19:00Z</dcterms:created>
  <dcterms:modified xsi:type="dcterms:W3CDTF">2018-04-12T17:13:00Z</dcterms:modified>
</cp:coreProperties>
</file>