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A4" w:rsidRPr="003F388D" w:rsidRDefault="000F5FA4" w:rsidP="00F843C1">
      <w:pPr>
        <w:rPr>
          <w:rFonts w:ascii="Arial" w:hAnsi="Arial" w:cs="Arial"/>
          <w:b/>
          <w:sz w:val="24"/>
          <w:szCs w:val="24"/>
        </w:rPr>
      </w:pPr>
      <w:r w:rsidRPr="003F388D">
        <w:rPr>
          <w:rFonts w:ascii="Arial" w:hAnsi="Arial" w:cs="Arial"/>
          <w:b/>
          <w:sz w:val="24"/>
          <w:szCs w:val="24"/>
        </w:rPr>
        <w:t xml:space="preserve">Faculty of Science </w:t>
      </w:r>
      <w:r w:rsidR="003F388D">
        <w:rPr>
          <w:rFonts w:ascii="Arial" w:hAnsi="Arial" w:cs="Arial"/>
          <w:b/>
          <w:sz w:val="24"/>
          <w:szCs w:val="24"/>
        </w:rPr>
        <w:t xml:space="preserve">(SCS) </w:t>
      </w:r>
      <w:r w:rsidRPr="003F388D">
        <w:rPr>
          <w:rFonts w:ascii="Arial" w:hAnsi="Arial" w:cs="Arial"/>
          <w:b/>
          <w:sz w:val="24"/>
          <w:szCs w:val="24"/>
        </w:rPr>
        <w:t>Board of Examiners consultation</w:t>
      </w:r>
    </w:p>
    <w:p w:rsidR="000F5FA4" w:rsidRPr="003F388D" w:rsidRDefault="000F5FA4" w:rsidP="00F843C1">
      <w:pPr>
        <w:rPr>
          <w:rFonts w:ascii="Arial" w:hAnsi="Arial" w:cs="Arial"/>
          <w:b/>
          <w:sz w:val="24"/>
          <w:szCs w:val="24"/>
        </w:rPr>
      </w:pPr>
    </w:p>
    <w:p w:rsidR="00F843C1" w:rsidRPr="003F388D" w:rsidRDefault="000F5FA4" w:rsidP="00F843C1">
      <w:pPr>
        <w:rPr>
          <w:rFonts w:ascii="Arial" w:hAnsi="Arial" w:cs="Arial"/>
          <w:sz w:val="24"/>
          <w:szCs w:val="24"/>
        </w:rPr>
      </w:pPr>
      <w:r w:rsidRPr="003F388D">
        <w:rPr>
          <w:rFonts w:ascii="Arial" w:hAnsi="Arial" w:cs="Arial"/>
          <w:sz w:val="24"/>
          <w:szCs w:val="24"/>
        </w:rPr>
        <w:t>Online surveys open for 1 week. Additional feedback c</w:t>
      </w:r>
      <w:r w:rsidR="00754DB5" w:rsidRPr="003F388D">
        <w:rPr>
          <w:rFonts w:ascii="Arial" w:hAnsi="Arial" w:cs="Arial"/>
          <w:sz w:val="24"/>
          <w:szCs w:val="24"/>
        </w:rPr>
        <w:t>ollected through conversations and emails prompted by the survey.</w:t>
      </w:r>
    </w:p>
    <w:p w:rsidR="00754DB5" w:rsidRPr="003F388D" w:rsidRDefault="00754DB5" w:rsidP="00F843C1">
      <w:pPr>
        <w:rPr>
          <w:rFonts w:ascii="Arial" w:hAnsi="Arial" w:cs="Arial"/>
          <w:sz w:val="24"/>
          <w:szCs w:val="24"/>
        </w:rPr>
      </w:pPr>
    </w:p>
    <w:p w:rsidR="00C522A0" w:rsidRPr="003F388D" w:rsidRDefault="00C522A0" w:rsidP="00F843C1">
      <w:pPr>
        <w:rPr>
          <w:rFonts w:ascii="Arial" w:hAnsi="Arial" w:cs="Arial"/>
          <w:b/>
          <w:sz w:val="24"/>
          <w:szCs w:val="24"/>
        </w:rPr>
      </w:pPr>
      <w:r w:rsidRPr="003F388D">
        <w:rPr>
          <w:rFonts w:ascii="Arial" w:hAnsi="Arial" w:cs="Arial"/>
          <w:b/>
          <w:sz w:val="24"/>
          <w:szCs w:val="24"/>
        </w:rPr>
        <w:t>Referral timing</w:t>
      </w:r>
    </w:p>
    <w:p w:rsidR="00C522A0" w:rsidRPr="003F388D" w:rsidRDefault="00C522A0" w:rsidP="00F843C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B90A5E" w:rsidRPr="00B90A5E" w:rsidTr="00B90A5E">
        <w:tc>
          <w:tcPr>
            <w:tcW w:w="1413" w:type="dxa"/>
          </w:tcPr>
          <w:p w:rsidR="00B90A5E" w:rsidRPr="00B90A5E" w:rsidRDefault="00B90A5E" w:rsidP="00B90A5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90A5E">
              <w:rPr>
                <w:rFonts w:ascii="Arial" w:hAnsi="Arial" w:cs="Arial"/>
                <w:sz w:val="24"/>
                <w:szCs w:val="24"/>
              </w:rPr>
              <w:t xml:space="preserve">Option 1 </w:t>
            </w:r>
          </w:p>
        </w:tc>
        <w:tc>
          <w:tcPr>
            <w:tcW w:w="7603" w:type="dxa"/>
          </w:tcPr>
          <w:p w:rsidR="00B90A5E" w:rsidRPr="00B90A5E" w:rsidRDefault="00B90A5E" w:rsidP="00B90A5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90A5E">
              <w:rPr>
                <w:rFonts w:ascii="Arial" w:hAnsi="Arial" w:cs="Arial"/>
                <w:sz w:val="24"/>
                <w:szCs w:val="24"/>
              </w:rPr>
              <w:t>Re-assessments before Graduation with late July Boards</w:t>
            </w:r>
          </w:p>
        </w:tc>
      </w:tr>
      <w:tr w:rsidR="00B90A5E" w:rsidRPr="00B90A5E" w:rsidTr="00B90A5E">
        <w:tc>
          <w:tcPr>
            <w:tcW w:w="1413" w:type="dxa"/>
          </w:tcPr>
          <w:p w:rsidR="00B90A5E" w:rsidRPr="00B90A5E" w:rsidRDefault="00B90A5E" w:rsidP="00B90A5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90A5E">
              <w:rPr>
                <w:rFonts w:ascii="Arial" w:hAnsi="Arial" w:cs="Arial"/>
                <w:sz w:val="24"/>
                <w:szCs w:val="24"/>
              </w:rPr>
              <w:t xml:space="preserve">Option 2 </w:t>
            </w:r>
          </w:p>
        </w:tc>
        <w:tc>
          <w:tcPr>
            <w:tcW w:w="7603" w:type="dxa"/>
          </w:tcPr>
          <w:p w:rsidR="00B90A5E" w:rsidRPr="00B90A5E" w:rsidRDefault="00B90A5E" w:rsidP="00B90A5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90A5E">
              <w:rPr>
                <w:rFonts w:ascii="Arial" w:hAnsi="Arial" w:cs="Arial"/>
                <w:sz w:val="24"/>
                <w:szCs w:val="24"/>
              </w:rPr>
              <w:t>Re-assessments after Graduation with early August Boards</w:t>
            </w:r>
          </w:p>
        </w:tc>
      </w:tr>
      <w:tr w:rsidR="00B90A5E" w:rsidRPr="00B90A5E" w:rsidTr="00B90A5E">
        <w:tc>
          <w:tcPr>
            <w:tcW w:w="1413" w:type="dxa"/>
          </w:tcPr>
          <w:p w:rsidR="00B90A5E" w:rsidRPr="00B90A5E" w:rsidRDefault="00B90A5E" w:rsidP="00B90A5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90A5E">
              <w:rPr>
                <w:rFonts w:ascii="Arial" w:hAnsi="Arial" w:cs="Arial"/>
                <w:sz w:val="24"/>
                <w:szCs w:val="24"/>
              </w:rPr>
              <w:t xml:space="preserve">Option 3 </w:t>
            </w:r>
          </w:p>
        </w:tc>
        <w:tc>
          <w:tcPr>
            <w:tcW w:w="7603" w:type="dxa"/>
          </w:tcPr>
          <w:p w:rsidR="00B90A5E" w:rsidRPr="00B90A5E" w:rsidRDefault="00B90A5E" w:rsidP="00B90A5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90A5E">
              <w:rPr>
                <w:rFonts w:ascii="Arial" w:hAnsi="Arial" w:cs="Arial"/>
                <w:sz w:val="24"/>
                <w:szCs w:val="24"/>
              </w:rPr>
              <w:t>Re-assessments in August with September Boards (the status quo)</w:t>
            </w:r>
          </w:p>
        </w:tc>
      </w:tr>
    </w:tbl>
    <w:p w:rsidR="003F388D" w:rsidRDefault="003F388D" w:rsidP="00F843C1">
      <w:pPr>
        <w:rPr>
          <w:rFonts w:ascii="Arial" w:hAnsi="Arial" w:cs="Arial"/>
          <w:sz w:val="24"/>
          <w:szCs w:val="24"/>
        </w:rPr>
      </w:pPr>
    </w:p>
    <w:p w:rsidR="003F388D" w:rsidRPr="003F388D" w:rsidRDefault="003F388D" w:rsidP="00F843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were able to select more than one option.</w:t>
      </w:r>
      <w:r w:rsidR="00B90A5E">
        <w:rPr>
          <w:rFonts w:ascii="Arial" w:hAnsi="Arial" w:cs="Arial"/>
          <w:sz w:val="24"/>
          <w:szCs w:val="24"/>
        </w:rPr>
        <w:t xml:space="preserve"> There were 111 respondents.</w:t>
      </w:r>
    </w:p>
    <w:p w:rsidR="000F5FA4" w:rsidRPr="003F388D" w:rsidRDefault="000F5FA4" w:rsidP="00F843C1">
      <w:pPr>
        <w:rPr>
          <w:rFonts w:ascii="Arial" w:hAnsi="Arial" w:cs="Arial"/>
          <w:sz w:val="24"/>
          <w:szCs w:val="24"/>
        </w:rPr>
      </w:pPr>
    </w:p>
    <w:tbl>
      <w:tblPr>
        <w:tblW w:w="8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421"/>
        <w:gridCol w:w="1565"/>
        <w:gridCol w:w="1568"/>
        <w:gridCol w:w="1429"/>
      </w:tblGrid>
      <w:tr w:rsidR="003F388D" w:rsidRPr="003F388D" w:rsidTr="003F388D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388D" w:rsidRPr="003F388D" w:rsidRDefault="003F38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388D" w:rsidRPr="003F388D" w:rsidRDefault="003F38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388D" w:rsidRPr="003F388D" w:rsidRDefault="003F38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8D">
              <w:rPr>
                <w:rFonts w:ascii="Arial" w:hAnsi="Arial" w:cs="Arial"/>
                <w:color w:val="000000"/>
                <w:sz w:val="24"/>
                <w:szCs w:val="24"/>
              </w:rPr>
              <w:t>Option 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388D" w:rsidRPr="003F388D" w:rsidRDefault="003F38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8D">
              <w:rPr>
                <w:rFonts w:ascii="Arial" w:hAnsi="Arial" w:cs="Arial"/>
                <w:color w:val="000000"/>
                <w:sz w:val="24"/>
                <w:szCs w:val="24"/>
              </w:rPr>
              <w:t>Option 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388D" w:rsidRPr="003F388D" w:rsidRDefault="003F38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8D">
              <w:rPr>
                <w:rFonts w:ascii="Arial" w:hAnsi="Arial" w:cs="Arial"/>
                <w:color w:val="000000"/>
                <w:sz w:val="24"/>
                <w:szCs w:val="24"/>
              </w:rPr>
              <w:t>Option 3</w:t>
            </w:r>
          </w:p>
        </w:tc>
      </w:tr>
      <w:tr w:rsidR="003F388D" w:rsidRPr="003F388D" w:rsidTr="003F388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388D" w:rsidRPr="003F388D" w:rsidRDefault="003F38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8D">
              <w:rPr>
                <w:rFonts w:ascii="Arial" w:hAnsi="Arial" w:cs="Arial"/>
                <w:color w:val="000000"/>
                <w:sz w:val="24"/>
                <w:szCs w:val="24"/>
              </w:rPr>
              <w:t>NSP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Academics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388D" w:rsidRPr="003F388D" w:rsidRDefault="003F38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8D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388D" w:rsidRPr="003F388D" w:rsidRDefault="003F38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8D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388D" w:rsidRPr="003F388D" w:rsidRDefault="003F38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8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388D" w:rsidRPr="003F388D" w:rsidRDefault="003F38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8D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</w:tr>
      <w:tr w:rsidR="003F388D" w:rsidRPr="003F388D" w:rsidTr="003F388D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388D" w:rsidRPr="003F388D" w:rsidRDefault="003F38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8D">
              <w:rPr>
                <w:rFonts w:ascii="Arial" w:hAnsi="Arial" w:cs="Arial"/>
                <w:color w:val="000000"/>
                <w:sz w:val="24"/>
                <w:szCs w:val="24"/>
              </w:rPr>
              <w:t>PBS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Academics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388D" w:rsidRPr="003F388D" w:rsidRDefault="003F38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8D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388D" w:rsidRPr="003F388D" w:rsidRDefault="003F38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8D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388D" w:rsidRPr="003F388D" w:rsidRDefault="003F38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8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388D" w:rsidRPr="003F388D" w:rsidRDefault="003F38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8D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</w:tr>
      <w:tr w:rsidR="003F388D" w:rsidRPr="003F388D" w:rsidTr="003F388D">
        <w:trPr>
          <w:trHeight w:val="300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388D" w:rsidRPr="003F388D" w:rsidRDefault="003F38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8D">
              <w:rPr>
                <w:rFonts w:ascii="Arial" w:hAnsi="Arial" w:cs="Arial"/>
                <w:color w:val="000000"/>
                <w:sz w:val="24"/>
                <w:szCs w:val="24"/>
              </w:rPr>
              <w:t>SPS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Academics</w:t>
            </w:r>
          </w:p>
        </w:tc>
        <w:tc>
          <w:tcPr>
            <w:tcW w:w="14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388D" w:rsidRPr="003F388D" w:rsidRDefault="003F38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8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388D" w:rsidRPr="003F388D" w:rsidRDefault="003F38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8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388D" w:rsidRPr="003F388D" w:rsidRDefault="003F38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8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388D" w:rsidRPr="003F388D" w:rsidRDefault="003F38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8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3F388D" w:rsidRPr="003F388D" w:rsidTr="003F388D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388D" w:rsidRPr="003F388D" w:rsidRDefault="003F38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SCS </w:t>
            </w:r>
            <w:r w:rsidRPr="003F388D">
              <w:rPr>
                <w:rFonts w:ascii="Arial" w:hAnsi="Arial" w:cs="Arial"/>
                <w:color w:val="000000"/>
                <w:sz w:val="24"/>
                <w:szCs w:val="24"/>
              </w:rPr>
              <w:t>Admin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istrative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388D" w:rsidRPr="003F388D" w:rsidRDefault="003F38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8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388D" w:rsidRPr="003F388D" w:rsidRDefault="003F38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8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388D" w:rsidRPr="003F388D" w:rsidRDefault="003F38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8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388D" w:rsidRPr="003F388D" w:rsidRDefault="003F38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8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</w:tbl>
    <w:p w:rsidR="000F5FA4" w:rsidRPr="003F388D" w:rsidRDefault="000F5FA4" w:rsidP="003F388D">
      <w:pPr>
        <w:rPr>
          <w:rFonts w:ascii="Arial" w:hAnsi="Arial" w:cs="Arial"/>
          <w:sz w:val="24"/>
          <w:szCs w:val="24"/>
        </w:rPr>
      </w:pPr>
    </w:p>
    <w:p w:rsidR="003F388D" w:rsidRPr="003F388D" w:rsidRDefault="003F388D" w:rsidP="00F843C1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1294AF3" wp14:editId="26FC92B1">
            <wp:extent cx="5731510" cy="2790825"/>
            <wp:effectExtent l="0" t="0" r="254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F388D" w:rsidRPr="003F388D" w:rsidRDefault="003F388D" w:rsidP="00F843C1">
      <w:pPr>
        <w:rPr>
          <w:rFonts w:ascii="Arial" w:hAnsi="Arial" w:cs="Arial"/>
          <w:sz w:val="24"/>
          <w:szCs w:val="24"/>
        </w:rPr>
      </w:pPr>
    </w:p>
    <w:p w:rsidR="003F388D" w:rsidRPr="00DE0429" w:rsidRDefault="003F388D" w:rsidP="00F843C1">
      <w:pPr>
        <w:rPr>
          <w:rFonts w:ascii="Arial" w:hAnsi="Arial" w:cs="Arial"/>
          <w:i/>
          <w:sz w:val="24"/>
          <w:szCs w:val="24"/>
        </w:rPr>
      </w:pPr>
      <w:r w:rsidRPr="00DE0429">
        <w:rPr>
          <w:rFonts w:ascii="Arial" w:hAnsi="Arial" w:cs="Arial"/>
          <w:i/>
          <w:sz w:val="24"/>
          <w:szCs w:val="24"/>
        </w:rPr>
        <w:t xml:space="preserve">Option 1 is favoured by </w:t>
      </w:r>
      <w:r w:rsidR="00B90A5E" w:rsidRPr="00DE0429">
        <w:rPr>
          <w:rFonts w:ascii="Arial" w:hAnsi="Arial" w:cs="Arial"/>
          <w:i/>
          <w:sz w:val="24"/>
          <w:szCs w:val="24"/>
        </w:rPr>
        <w:t>the</w:t>
      </w:r>
      <w:r w:rsidRPr="00DE0429">
        <w:rPr>
          <w:rFonts w:ascii="Arial" w:hAnsi="Arial" w:cs="Arial"/>
          <w:i/>
          <w:sz w:val="24"/>
          <w:szCs w:val="24"/>
        </w:rPr>
        <w:t xml:space="preserve"> majority of academics in all </w:t>
      </w:r>
      <w:r w:rsidR="00B90A5E" w:rsidRPr="00DE0429">
        <w:rPr>
          <w:rFonts w:ascii="Arial" w:hAnsi="Arial" w:cs="Arial"/>
          <w:i/>
          <w:sz w:val="24"/>
          <w:szCs w:val="24"/>
        </w:rPr>
        <w:t>three Science s</w:t>
      </w:r>
      <w:r w:rsidRPr="00DE0429">
        <w:rPr>
          <w:rFonts w:ascii="Arial" w:hAnsi="Arial" w:cs="Arial"/>
          <w:i/>
          <w:sz w:val="24"/>
          <w:szCs w:val="24"/>
        </w:rPr>
        <w:t xml:space="preserve">chools, </w:t>
      </w:r>
      <w:r w:rsidR="00B90A5E" w:rsidRPr="00DE0429">
        <w:rPr>
          <w:rFonts w:ascii="Arial" w:hAnsi="Arial" w:cs="Arial"/>
          <w:i/>
          <w:sz w:val="24"/>
          <w:szCs w:val="24"/>
        </w:rPr>
        <w:t>particularly</w:t>
      </w:r>
      <w:r w:rsidRPr="00DE0429">
        <w:rPr>
          <w:rFonts w:ascii="Arial" w:hAnsi="Arial" w:cs="Arial"/>
          <w:i/>
          <w:sz w:val="24"/>
          <w:szCs w:val="24"/>
        </w:rPr>
        <w:t xml:space="preserve"> in SPS. Option 3</w:t>
      </w:r>
      <w:r w:rsidR="00B90A5E" w:rsidRPr="00DE0429">
        <w:rPr>
          <w:rFonts w:ascii="Arial" w:hAnsi="Arial" w:cs="Arial"/>
          <w:i/>
          <w:sz w:val="24"/>
          <w:szCs w:val="24"/>
        </w:rPr>
        <w:t xml:space="preserve"> is</w:t>
      </w:r>
      <w:r w:rsidRPr="00DE0429">
        <w:rPr>
          <w:rFonts w:ascii="Arial" w:hAnsi="Arial" w:cs="Arial"/>
          <w:i/>
          <w:sz w:val="24"/>
          <w:szCs w:val="24"/>
        </w:rPr>
        <w:t xml:space="preserve"> favoured by admin</w:t>
      </w:r>
      <w:r w:rsidR="00B90A5E" w:rsidRPr="00DE0429">
        <w:rPr>
          <w:rFonts w:ascii="Arial" w:hAnsi="Arial" w:cs="Arial"/>
          <w:i/>
          <w:sz w:val="24"/>
          <w:szCs w:val="24"/>
        </w:rPr>
        <w:t>istrative</w:t>
      </w:r>
      <w:r w:rsidRPr="00DE0429">
        <w:rPr>
          <w:rFonts w:ascii="Arial" w:hAnsi="Arial" w:cs="Arial"/>
          <w:i/>
          <w:sz w:val="24"/>
          <w:szCs w:val="24"/>
        </w:rPr>
        <w:t xml:space="preserve"> staff.</w:t>
      </w:r>
    </w:p>
    <w:p w:rsidR="000F5FA4" w:rsidRDefault="000F5FA4" w:rsidP="00F843C1">
      <w:pPr>
        <w:rPr>
          <w:rFonts w:ascii="Arial" w:hAnsi="Arial" w:cs="Arial"/>
          <w:sz w:val="24"/>
          <w:szCs w:val="24"/>
        </w:rPr>
      </w:pPr>
    </w:p>
    <w:p w:rsidR="003F388D" w:rsidRDefault="003F388D" w:rsidP="00F843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Colleagues spoke of the need to talk with their significant others before completing the survey. Academics noted that with the increase in PGT provision made option 1 more attractive</w:t>
      </w:r>
      <w:r w:rsidR="00B90A5E">
        <w:rPr>
          <w:rFonts w:ascii="Arial" w:hAnsi="Arial" w:cs="Arial"/>
          <w:sz w:val="24"/>
          <w:szCs w:val="24"/>
        </w:rPr>
        <w:t xml:space="preserve"> than </w:t>
      </w:r>
      <w:r w:rsidR="00993A44">
        <w:rPr>
          <w:rFonts w:ascii="Arial" w:hAnsi="Arial" w:cs="Arial"/>
          <w:sz w:val="24"/>
          <w:szCs w:val="24"/>
        </w:rPr>
        <w:t xml:space="preserve">it </w:t>
      </w:r>
      <w:r w:rsidR="00B90A5E">
        <w:rPr>
          <w:rFonts w:ascii="Arial" w:hAnsi="Arial" w:cs="Arial"/>
          <w:sz w:val="24"/>
          <w:szCs w:val="24"/>
        </w:rPr>
        <w:t>previously</w:t>
      </w:r>
      <w:r w:rsidR="00993A44">
        <w:rPr>
          <w:rFonts w:ascii="Arial" w:hAnsi="Arial" w:cs="Arial"/>
          <w:sz w:val="24"/>
          <w:szCs w:val="24"/>
        </w:rPr>
        <w:t xml:space="preserve"> might have been</w:t>
      </w:r>
      <w:r>
        <w:rPr>
          <w:rFonts w:ascii="Arial" w:hAnsi="Arial" w:cs="Arial"/>
          <w:sz w:val="24"/>
          <w:szCs w:val="24"/>
        </w:rPr>
        <w:t xml:space="preserve">. It was acknowledged that no option was perfect; </w:t>
      </w:r>
      <w:r w:rsidR="00B90A5E">
        <w:rPr>
          <w:rFonts w:ascii="Arial" w:hAnsi="Arial" w:cs="Arial"/>
          <w:sz w:val="24"/>
          <w:szCs w:val="24"/>
        </w:rPr>
        <w:t>Administrative staff</w:t>
      </w:r>
      <w:r>
        <w:rPr>
          <w:rFonts w:ascii="Arial" w:hAnsi="Arial" w:cs="Arial"/>
          <w:sz w:val="24"/>
          <w:szCs w:val="24"/>
        </w:rPr>
        <w:t xml:space="preserve"> </w:t>
      </w:r>
      <w:r w:rsidR="00B90A5E">
        <w:rPr>
          <w:rFonts w:ascii="Arial" w:hAnsi="Arial" w:cs="Arial"/>
          <w:sz w:val="24"/>
          <w:szCs w:val="24"/>
        </w:rPr>
        <w:t>reported</w:t>
      </w:r>
      <w:r>
        <w:rPr>
          <w:rFonts w:ascii="Arial" w:hAnsi="Arial" w:cs="Arial"/>
          <w:sz w:val="24"/>
          <w:szCs w:val="24"/>
        </w:rPr>
        <w:t xml:space="preserve"> that </w:t>
      </w:r>
      <w:r w:rsidR="00F843C1" w:rsidRPr="003F388D">
        <w:rPr>
          <w:rFonts w:ascii="Arial" w:hAnsi="Arial" w:cs="Arial"/>
          <w:sz w:val="24"/>
          <w:szCs w:val="24"/>
        </w:rPr>
        <w:t>Option 1</w:t>
      </w:r>
      <w:r w:rsidR="00B90A5E">
        <w:rPr>
          <w:rFonts w:ascii="Arial" w:hAnsi="Arial" w:cs="Arial"/>
          <w:sz w:val="24"/>
          <w:szCs w:val="24"/>
        </w:rPr>
        <w:t xml:space="preserve"> would</w:t>
      </w:r>
      <w:r w:rsidR="00F843C1" w:rsidRPr="003F388D">
        <w:rPr>
          <w:rFonts w:ascii="Arial" w:hAnsi="Arial" w:cs="Arial"/>
          <w:sz w:val="24"/>
          <w:szCs w:val="24"/>
        </w:rPr>
        <w:t xml:space="preserve"> mean</w:t>
      </w:r>
      <w:r w:rsidR="00B90A5E">
        <w:rPr>
          <w:rFonts w:ascii="Arial" w:hAnsi="Arial" w:cs="Arial"/>
          <w:sz w:val="24"/>
          <w:szCs w:val="24"/>
        </w:rPr>
        <w:t xml:space="preserve"> an</w:t>
      </w:r>
      <w:r w:rsidR="00F843C1" w:rsidRPr="003F388D">
        <w:rPr>
          <w:rFonts w:ascii="Arial" w:hAnsi="Arial" w:cs="Arial"/>
          <w:sz w:val="24"/>
          <w:szCs w:val="24"/>
        </w:rPr>
        <w:t xml:space="preserve"> </w:t>
      </w:r>
      <w:r w:rsidR="00B90A5E">
        <w:rPr>
          <w:rFonts w:ascii="Arial" w:hAnsi="Arial" w:cs="Arial"/>
          <w:sz w:val="24"/>
          <w:szCs w:val="24"/>
        </w:rPr>
        <w:t>“</w:t>
      </w:r>
      <w:r w:rsidR="00F843C1" w:rsidRPr="003F388D">
        <w:rPr>
          <w:rFonts w:ascii="Arial" w:hAnsi="Arial" w:cs="Arial"/>
          <w:sz w:val="24"/>
          <w:szCs w:val="24"/>
        </w:rPr>
        <w:t>extremely difficult tight turnaround</w:t>
      </w:r>
      <w:r w:rsidR="00B90A5E">
        <w:rPr>
          <w:rFonts w:ascii="Arial" w:hAnsi="Arial" w:cs="Arial"/>
          <w:sz w:val="24"/>
          <w:szCs w:val="24"/>
        </w:rPr>
        <w:t>”</w:t>
      </w:r>
      <w:r w:rsidR="00F843C1" w:rsidRPr="003F388D">
        <w:rPr>
          <w:rFonts w:ascii="Arial" w:hAnsi="Arial" w:cs="Arial"/>
          <w:sz w:val="24"/>
          <w:szCs w:val="24"/>
        </w:rPr>
        <w:t xml:space="preserve"> from June Board of Examiners to prepare for early July exams and late July Board of Examiners.</w:t>
      </w:r>
      <w:r>
        <w:rPr>
          <w:rFonts w:ascii="Arial" w:hAnsi="Arial" w:cs="Arial"/>
          <w:sz w:val="24"/>
          <w:szCs w:val="24"/>
        </w:rPr>
        <w:t xml:space="preserve"> </w:t>
      </w:r>
      <w:r w:rsidR="00F843C1" w:rsidRPr="003F388D">
        <w:rPr>
          <w:rFonts w:ascii="Arial" w:hAnsi="Arial" w:cs="Arial"/>
          <w:sz w:val="24"/>
          <w:szCs w:val="24"/>
        </w:rPr>
        <w:t xml:space="preserve">Option 2 </w:t>
      </w:r>
      <w:r>
        <w:rPr>
          <w:rFonts w:ascii="Arial" w:hAnsi="Arial" w:cs="Arial"/>
          <w:sz w:val="24"/>
          <w:szCs w:val="24"/>
        </w:rPr>
        <w:t>was referred to by one</w:t>
      </w:r>
      <w:r w:rsidR="00993A44">
        <w:rPr>
          <w:rFonts w:ascii="Arial" w:hAnsi="Arial" w:cs="Arial"/>
          <w:sz w:val="24"/>
          <w:szCs w:val="24"/>
        </w:rPr>
        <w:t xml:space="preserve"> </w:t>
      </w:r>
      <w:r w:rsidR="00B90A5E">
        <w:rPr>
          <w:rFonts w:ascii="Arial" w:hAnsi="Arial" w:cs="Arial"/>
          <w:sz w:val="24"/>
          <w:szCs w:val="24"/>
        </w:rPr>
        <w:t>line manager</w:t>
      </w:r>
      <w:r>
        <w:rPr>
          <w:rFonts w:ascii="Arial" w:hAnsi="Arial" w:cs="Arial"/>
          <w:sz w:val="24"/>
          <w:szCs w:val="24"/>
        </w:rPr>
        <w:t xml:space="preserve"> as the ‘</w:t>
      </w:r>
      <w:r w:rsidR="00F843C1" w:rsidRPr="003F388D">
        <w:rPr>
          <w:rFonts w:ascii="Arial" w:hAnsi="Arial" w:cs="Arial"/>
          <w:sz w:val="24"/>
          <w:szCs w:val="24"/>
        </w:rPr>
        <w:t>nightmare</w:t>
      </w:r>
      <w:r>
        <w:rPr>
          <w:rFonts w:ascii="Arial" w:hAnsi="Arial" w:cs="Arial"/>
          <w:sz w:val="24"/>
          <w:szCs w:val="24"/>
        </w:rPr>
        <w:t>’</w:t>
      </w:r>
      <w:r w:rsidR="00F843C1" w:rsidRPr="003F388D">
        <w:rPr>
          <w:rFonts w:ascii="Arial" w:hAnsi="Arial" w:cs="Arial"/>
          <w:sz w:val="24"/>
          <w:szCs w:val="24"/>
        </w:rPr>
        <w:t xml:space="preserve"> scenario for those with children </w:t>
      </w:r>
      <w:r>
        <w:rPr>
          <w:rFonts w:ascii="Arial" w:hAnsi="Arial" w:cs="Arial"/>
          <w:sz w:val="24"/>
          <w:szCs w:val="24"/>
        </w:rPr>
        <w:t>on their</w:t>
      </w:r>
      <w:r w:rsidR="00F843C1" w:rsidRPr="003F388D">
        <w:rPr>
          <w:rFonts w:ascii="Arial" w:hAnsi="Arial" w:cs="Arial"/>
          <w:sz w:val="24"/>
          <w:szCs w:val="24"/>
        </w:rPr>
        <w:t xml:space="preserve"> team</w:t>
      </w:r>
      <w:r>
        <w:rPr>
          <w:rFonts w:ascii="Arial" w:hAnsi="Arial" w:cs="Arial"/>
          <w:sz w:val="24"/>
          <w:szCs w:val="24"/>
        </w:rPr>
        <w:t>.</w:t>
      </w:r>
    </w:p>
    <w:p w:rsidR="003F388D" w:rsidRDefault="003F388D" w:rsidP="00F843C1">
      <w:pPr>
        <w:rPr>
          <w:rFonts w:ascii="Arial" w:hAnsi="Arial" w:cs="Arial"/>
          <w:sz w:val="24"/>
          <w:szCs w:val="24"/>
        </w:rPr>
      </w:pPr>
    </w:p>
    <w:p w:rsidR="003F388D" w:rsidRDefault="003F388D" w:rsidP="00F843C1">
      <w:pPr>
        <w:rPr>
          <w:rFonts w:ascii="Arial" w:hAnsi="Arial" w:cs="Arial"/>
          <w:sz w:val="24"/>
          <w:szCs w:val="24"/>
        </w:rPr>
      </w:pPr>
    </w:p>
    <w:p w:rsidR="00B90A5E" w:rsidRDefault="00B90A5E" w:rsidP="00B90A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Mid-year Board of Examiner powers</w:t>
      </w:r>
    </w:p>
    <w:p w:rsidR="00DE0429" w:rsidRDefault="00DE0429" w:rsidP="00B90A5E">
      <w:pPr>
        <w:rPr>
          <w:rFonts w:ascii="Arial" w:hAnsi="Arial" w:cs="Arial"/>
          <w:b/>
          <w:sz w:val="24"/>
          <w:szCs w:val="24"/>
        </w:rPr>
      </w:pPr>
    </w:p>
    <w:p w:rsidR="00DE0429" w:rsidRPr="00DE0429" w:rsidRDefault="00993A44" w:rsidP="00DE04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survey first summarised the </w:t>
      </w:r>
      <w:r w:rsidRPr="00DE0429">
        <w:rPr>
          <w:rFonts w:ascii="Arial" w:hAnsi="Arial" w:cs="Arial"/>
          <w:sz w:val="24"/>
          <w:szCs w:val="24"/>
        </w:rPr>
        <w:t xml:space="preserve">characteristics </w:t>
      </w:r>
      <w:r>
        <w:rPr>
          <w:rFonts w:ascii="Arial" w:hAnsi="Arial" w:cs="Arial"/>
          <w:sz w:val="24"/>
          <w:szCs w:val="24"/>
        </w:rPr>
        <w:t xml:space="preserve">of </w:t>
      </w:r>
      <w:r w:rsidR="00DE0429" w:rsidRPr="00DE0429">
        <w:rPr>
          <w:rFonts w:ascii="Arial" w:hAnsi="Arial" w:cs="Arial"/>
          <w:sz w:val="24"/>
          <w:szCs w:val="24"/>
        </w:rPr>
        <w:t>Boards of Examiners:</w:t>
      </w:r>
    </w:p>
    <w:p w:rsidR="00DE0429" w:rsidRPr="00DE0429" w:rsidRDefault="00DE0429" w:rsidP="00691C90">
      <w:pPr>
        <w:spacing w:before="1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Pr="00DE0429">
        <w:rPr>
          <w:rFonts w:ascii="Arial" w:hAnsi="Arial" w:cs="Arial"/>
          <w:sz w:val="24"/>
          <w:szCs w:val="24"/>
        </w:rPr>
        <w:t>) Ability to make recommendations on awards and progression = award power.</w:t>
      </w:r>
    </w:p>
    <w:p w:rsidR="00DE0429" w:rsidRPr="00DE0429" w:rsidRDefault="00DE0429" w:rsidP="00691C90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 w:rsidRPr="00DE0429">
        <w:rPr>
          <w:rFonts w:ascii="Arial" w:hAnsi="Arial" w:cs="Arial"/>
          <w:sz w:val="24"/>
          <w:szCs w:val="24"/>
        </w:rPr>
        <w:t>) Ability to approve marks after assessment samples have been shared with, and reviewed by, the External Examiner = approval power.</w:t>
      </w:r>
    </w:p>
    <w:p w:rsidR="00DE0429" w:rsidRPr="00DE0429" w:rsidRDefault="00DE0429" w:rsidP="00691C90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Pr="00DE0429">
        <w:rPr>
          <w:rFonts w:ascii="Arial" w:hAnsi="Arial" w:cs="Arial"/>
          <w:sz w:val="24"/>
          <w:szCs w:val="24"/>
        </w:rPr>
        <w:t>) All associated External Examiners, representing all considered programmes, in attendance.</w:t>
      </w:r>
    </w:p>
    <w:p w:rsidR="00B90A5E" w:rsidRPr="00DE0429" w:rsidRDefault="00B90A5E" w:rsidP="00B90A5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603"/>
      </w:tblGrid>
      <w:tr w:rsidR="00DE0429" w:rsidRPr="00DE0429" w:rsidTr="00DE0429">
        <w:tc>
          <w:tcPr>
            <w:tcW w:w="1418" w:type="dxa"/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 xml:space="preserve">Option A: </w:t>
            </w:r>
          </w:p>
        </w:tc>
        <w:tc>
          <w:tcPr>
            <w:tcW w:w="7603" w:type="dxa"/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Award and approval powers. All associated External Examiners must attend (status quo).</w:t>
            </w:r>
          </w:p>
        </w:tc>
      </w:tr>
      <w:tr w:rsidR="00DE0429" w:rsidRPr="00DE0429" w:rsidTr="00DE0429">
        <w:tc>
          <w:tcPr>
            <w:tcW w:w="1418" w:type="dxa"/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 xml:space="preserve">Option B: </w:t>
            </w:r>
          </w:p>
        </w:tc>
        <w:tc>
          <w:tcPr>
            <w:tcW w:w="7603" w:type="dxa"/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Award and approval powers. A minimum of one of the associated External Examiners must attend.</w:t>
            </w:r>
          </w:p>
        </w:tc>
      </w:tr>
      <w:tr w:rsidR="00DE0429" w:rsidRPr="00DE0429" w:rsidTr="00DE0429">
        <w:tc>
          <w:tcPr>
            <w:tcW w:w="1418" w:type="dxa"/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 xml:space="preserve">Option C: </w:t>
            </w:r>
          </w:p>
        </w:tc>
        <w:tc>
          <w:tcPr>
            <w:tcW w:w="7603" w:type="dxa"/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Approval powers only. A minimum of one of the associated External Examiners must attend.</w:t>
            </w:r>
          </w:p>
        </w:tc>
      </w:tr>
      <w:tr w:rsidR="00DE0429" w:rsidRPr="00DE0429" w:rsidTr="00DE0429">
        <w:tc>
          <w:tcPr>
            <w:tcW w:w="1418" w:type="dxa"/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 xml:space="preserve">Option D: </w:t>
            </w:r>
          </w:p>
        </w:tc>
        <w:tc>
          <w:tcPr>
            <w:tcW w:w="7603" w:type="dxa"/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Approval powers only. No External Examiners are required to attend.</w:t>
            </w:r>
          </w:p>
        </w:tc>
      </w:tr>
      <w:tr w:rsidR="00DE0429" w:rsidRPr="00DE0429" w:rsidTr="00DE0429">
        <w:tc>
          <w:tcPr>
            <w:tcW w:w="1418" w:type="dxa"/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 xml:space="preserve">Option E: </w:t>
            </w:r>
          </w:p>
        </w:tc>
        <w:tc>
          <w:tcPr>
            <w:tcW w:w="7603" w:type="dxa"/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No mid-year Board: Semester 1 marks approved in June.</w:t>
            </w:r>
          </w:p>
        </w:tc>
      </w:tr>
    </w:tbl>
    <w:p w:rsidR="00B90A5E" w:rsidRPr="00B90A5E" w:rsidRDefault="00B90A5E" w:rsidP="00B90A5E">
      <w:pPr>
        <w:ind w:left="1134" w:hanging="113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077"/>
        <w:gridCol w:w="1134"/>
        <w:gridCol w:w="1134"/>
        <w:gridCol w:w="1134"/>
        <w:gridCol w:w="1134"/>
        <w:gridCol w:w="1134"/>
      </w:tblGrid>
      <w:tr w:rsidR="00DE0429" w:rsidRPr="00DE0429" w:rsidTr="00DE0429">
        <w:tc>
          <w:tcPr>
            <w:tcW w:w="2268" w:type="dxa"/>
            <w:tcBorders>
              <w:bottom w:val="single" w:sz="4" w:space="0" w:color="auto"/>
            </w:tcBorders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Option 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Option B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Option C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Option 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Option E</w:t>
            </w:r>
          </w:p>
        </w:tc>
      </w:tr>
      <w:tr w:rsidR="00DE0429" w:rsidRPr="00DE0429" w:rsidTr="00DE0429">
        <w:tc>
          <w:tcPr>
            <w:tcW w:w="2268" w:type="dxa"/>
            <w:tcBorders>
              <w:top w:val="single" w:sz="4" w:space="0" w:color="auto"/>
            </w:tcBorders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 xml:space="preserve">NSP </w:t>
            </w:r>
            <w:r>
              <w:rPr>
                <w:rFonts w:ascii="Arial" w:hAnsi="Arial" w:cs="Arial"/>
                <w:sz w:val="24"/>
                <w:szCs w:val="24"/>
              </w:rPr>
              <w:t>Academics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E0429" w:rsidRPr="00DE0429" w:rsidTr="00DE0429">
        <w:tc>
          <w:tcPr>
            <w:tcW w:w="2268" w:type="dxa"/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PBS</w:t>
            </w:r>
            <w:r>
              <w:rPr>
                <w:rFonts w:ascii="Arial" w:hAnsi="Arial" w:cs="Arial"/>
                <w:sz w:val="24"/>
                <w:szCs w:val="24"/>
              </w:rPr>
              <w:t xml:space="preserve"> Academics</w:t>
            </w:r>
          </w:p>
        </w:tc>
        <w:tc>
          <w:tcPr>
            <w:tcW w:w="1077" w:type="dxa"/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E0429" w:rsidRPr="00DE0429" w:rsidTr="00DE0429">
        <w:tc>
          <w:tcPr>
            <w:tcW w:w="2268" w:type="dxa"/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SPS</w:t>
            </w:r>
            <w:r>
              <w:rPr>
                <w:rFonts w:ascii="Arial" w:hAnsi="Arial" w:cs="Arial"/>
                <w:sz w:val="24"/>
                <w:szCs w:val="24"/>
              </w:rPr>
              <w:t xml:space="preserve"> Academics</w:t>
            </w:r>
          </w:p>
        </w:tc>
        <w:tc>
          <w:tcPr>
            <w:tcW w:w="1077" w:type="dxa"/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E0429" w:rsidRPr="00DE0429" w:rsidTr="00DE0429">
        <w:tc>
          <w:tcPr>
            <w:tcW w:w="2268" w:type="dxa"/>
            <w:tcBorders>
              <w:bottom w:val="single" w:sz="4" w:space="0" w:color="auto"/>
            </w:tcBorders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0429" w:rsidRPr="00DE0429" w:rsidRDefault="00DE0429" w:rsidP="00DE042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E042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:rsidR="00DE0429" w:rsidRDefault="00DE0429" w:rsidP="00C522A0">
      <w:pPr>
        <w:rPr>
          <w:rFonts w:ascii="Arial" w:hAnsi="Arial" w:cs="Arial"/>
          <w:sz w:val="24"/>
          <w:szCs w:val="24"/>
        </w:rPr>
      </w:pPr>
    </w:p>
    <w:p w:rsidR="00DE0429" w:rsidRPr="00DE0429" w:rsidRDefault="00DE0429" w:rsidP="00C522A0">
      <w:pPr>
        <w:rPr>
          <w:rFonts w:ascii="Arial" w:hAnsi="Arial" w:cs="Arial"/>
          <w:i/>
          <w:sz w:val="24"/>
          <w:szCs w:val="24"/>
        </w:rPr>
      </w:pPr>
      <w:r w:rsidRPr="00DE0429">
        <w:rPr>
          <w:rFonts w:ascii="Arial" w:hAnsi="Arial" w:cs="Arial"/>
          <w:i/>
          <w:sz w:val="24"/>
          <w:szCs w:val="24"/>
        </w:rPr>
        <w:t xml:space="preserve">Maintaining award and approval powers </w:t>
      </w:r>
      <w:r>
        <w:rPr>
          <w:rFonts w:ascii="Arial" w:hAnsi="Arial" w:cs="Arial"/>
          <w:i/>
          <w:sz w:val="24"/>
          <w:szCs w:val="24"/>
        </w:rPr>
        <w:t>and</w:t>
      </w:r>
      <w:r w:rsidRPr="00DE0429">
        <w:rPr>
          <w:rFonts w:ascii="Arial" w:hAnsi="Arial" w:cs="Arial"/>
          <w:i/>
          <w:sz w:val="24"/>
          <w:szCs w:val="24"/>
        </w:rPr>
        <w:t xml:space="preserve"> requiring a minimum of one of the associated External Examiners </w:t>
      </w:r>
      <w:r>
        <w:rPr>
          <w:rFonts w:ascii="Arial" w:hAnsi="Arial" w:cs="Arial"/>
          <w:i/>
          <w:sz w:val="24"/>
          <w:szCs w:val="24"/>
        </w:rPr>
        <w:t xml:space="preserve">to </w:t>
      </w:r>
      <w:r w:rsidRPr="00DE0429">
        <w:rPr>
          <w:rFonts w:ascii="Arial" w:hAnsi="Arial" w:cs="Arial"/>
          <w:i/>
          <w:sz w:val="24"/>
          <w:szCs w:val="24"/>
        </w:rPr>
        <w:t xml:space="preserve">attend is the </w:t>
      </w:r>
      <w:r w:rsidR="00703CF5">
        <w:rPr>
          <w:rFonts w:ascii="Arial" w:hAnsi="Arial" w:cs="Arial"/>
          <w:i/>
          <w:sz w:val="24"/>
          <w:szCs w:val="24"/>
        </w:rPr>
        <w:t xml:space="preserve">most popular option in two of the three </w:t>
      </w:r>
      <w:r w:rsidR="00B727D9">
        <w:rPr>
          <w:rFonts w:ascii="Arial" w:hAnsi="Arial" w:cs="Arial"/>
          <w:i/>
          <w:sz w:val="24"/>
          <w:szCs w:val="24"/>
        </w:rPr>
        <w:t>Science s</w:t>
      </w:r>
      <w:r w:rsidR="00703CF5">
        <w:rPr>
          <w:rFonts w:ascii="Arial" w:hAnsi="Arial" w:cs="Arial"/>
          <w:i/>
          <w:sz w:val="24"/>
          <w:szCs w:val="24"/>
        </w:rPr>
        <w:t>chool</w:t>
      </w:r>
      <w:r w:rsidR="00B727D9">
        <w:rPr>
          <w:rFonts w:ascii="Arial" w:hAnsi="Arial" w:cs="Arial"/>
          <w:i/>
          <w:sz w:val="24"/>
          <w:szCs w:val="24"/>
        </w:rPr>
        <w:t>s</w:t>
      </w:r>
      <w:r w:rsidR="00703CF5" w:rsidRPr="00DE0429">
        <w:rPr>
          <w:rFonts w:ascii="Arial" w:hAnsi="Arial" w:cs="Arial"/>
          <w:i/>
          <w:sz w:val="24"/>
          <w:szCs w:val="24"/>
        </w:rPr>
        <w:t xml:space="preserve"> </w:t>
      </w:r>
      <w:r w:rsidR="00703CF5">
        <w:rPr>
          <w:rFonts w:ascii="Arial" w:hAnsi="Arial" w:cs="Arial"/>
          <w:i/>
          <w:sz w:val="24"/>
          <w:szCs w:val="24"/>
        </w:rPr>
        <w:t xml:space="preserve">and the </w:t>
      </w:r>
      <w:r w:rsidRPr="00DE0429">
        <w:rPr>
          <w:rFonts w:ascii="Arial" w:hAnsi="Arial" w:cs="Arial"/>
          <w:i/>
          <w:sz w:val="24"/>
          <w:szCs w:val="24"/>
        </w:rPr>
        <w:t>most popular option in the Faculty</w:t>
      </w:r>
      <w:r w:rsidR="00703CF5">
        <w:rPr>
          <w:rFonts w:ascii="Arial" w:hAnsi="Arial" w:cs="Arial"/>
          <w:i/>
          <w:sz w:val="24"/>
          <w:szCs w:val="24"/>
        </w:rPr>
        <w:t xml:space="preserve"> overall</w:t>
      </w:r>
      <w:r w:rsidRPr="00DE0429">
        <w:rPr>
          <w:rFonts w:ascii="Arial" w:hAnsi="Arial" w:cs="Arial"/>
          <w:i/>
          <w:sz w:val="24"/>
          <w:szCs w:val="24"/>
        </w:rPr>
        <w:t>.</w:t>
      </w:r>
    </w:p>
    <w:p w:rsidR="00DE0429" w:rsidRDefault="00DE0429" w:rsidP="00C522A0">
      <w:pPr>
        <w:rPr>
          <w:rFonts w:ascii="Arial" w:hAnsi="Arial" w:cs="Arial"/>
          <w:sz w:val="24"/>
          <w:szCs w:val="24"/>
        </w:rPr>
      </w:pPr>
    </w:p>
    <w:p w:rsidR="00DE0429" w:rsidRDefault="00B727D9" w:rsidP="00C522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E0429">
        <w:rPr>
          <w:rFonts w:ascii="Arial" w:hAnsi="Arial" w:cs="Arial"/>
          <w:sz w:val="24"/>
          <w:szCs w:val="24"/>
        </w:rPr>
        <w:t xml:space="preserve">here are a range of opinions </w:t>
      </w:r>
      <w:r w:rsidR="00993A44">
        <w:rPr>
          <w:rFonts w:ascii="Arial" w:hAnsi="Arial" w:cs="Arial"/>
          <w:sz w:val="24"/>
          <w:szCs w:val="24"/>
        </w:rPr>
        <w:t xml:space="preserve">across the Faculty </w:t>
      </w:r>
      <w:r w:rsidR="00DE0429">
        <w:rPr>
          <w:rFonts w:ascii="Arial" w:hAnsi="Arial" w:cs="Arial"/>
          <w:sz w:val="24"/>
          <w:szCs w:val="24"/>
        </w:rPr>
        <w:t>and both options D and E had strong support</w:t>
      </w:r>
      <w:r w:rsidR="00703CF5">
        <w:rPr>
          <w:rFonts w:ascii="Arial" w:hAnsi="Arial" w:cs="Arial"/>
          <w:sz w:val="24"/>
          <w:szCs w:val="24"/>
        </w:rPr>
        <w:t xml:space="preserve"> in two </w:t>
      </w:r>
      <w:r w:rsidR="00993A44">
        <w:rPr>
          <w:rFonts w:ascii="Arial" w:hAnsi="Arial" w:cs="Arial"/>
          <w:sz w:val="24"/>
          <w:szCs w:val="24"/>
        </w:rPr>
        <w:t>s</w:t>
      </w:r>
      <w:r w:rsidR="00703CF5">
        <w:rPr>
          <w:rFonts w:ascii="Arial" w:hAnsi="Arial" w:cs="Arial"/>
          <w:sz w:val="24"/>
          <w:szCs w:val="24"/>
        </w:rPr>
        <w:t>chools</w:t>
      </w:r>
      <w:r w:rsidR="00DE0429">
        <w:rPr>
          <w:rFonts w:ascii="Arial" w:hAnsi="Arial" w:cs="Arial"/>
          <w:sz w:val="24"/>
          <w:szCs w:val="24"/>
        </w:rPr>
        <w:t>. The 100% preference for main</w:t>
      </w:r>
      <w:r w:rsidR="00703CF5">
        <w:rPr>
          <w:rFonts w:ascii="Arial" w:hAnsi="Arial" w:cs="Arial"/>
          <w:sz w:val="24"/>
          <w:szCs w:val="24"/>
        </w:rPr>
        <w:t>t</w:t>
      </w:r>
      <w:r w:rsidR="00DE0429">
        <w:rPr>
          <w:rFonts w:ascii="Arial" w:hAnsi="Arial" w:cs="Arial"/>
          <w:sz w:val="24"/>
          <w:szCs w:val="24"/>
        </w:rPr>
        <w:t>a</w:t>
      </w:r>
      <w:r w:rsidR="00703CF5">
        <w:rPr>
          <w:rFonts w:ascii="Arial" w:hAnsi="Arial" w:cs="Arial"/>
          <w:sz w:val="24"/>
          <w:szCs w:val="24"/>
        </w:rPr>
        <w:t>in</w:t>
      </w:r>
      <w:r w:rsidR="00DE0429">
        <w:rPr>
          <w:rFonts w:ascii="Arial" w:hAnsi="Arial" w:cs="Arial"/>
          <w:sz w:val="24"/>
          <w:szCs w:val="24"/>
        </w:rPr>
        <w:t xml:space="preserve">ing award powers in SPS </w:t>
      </w:r>
      <w:r w:rsidR="00703CF5">
        <w:rPr>
          <w:rFonts w:ascii="Arial" w:hAnsi="Arial" w:cs="Arial"/>
          <w:sz w:val="24"/>
          <w:szCs w:val="24"/>
        </w:rPr>
        <w:t>was reported to be due to their well-developed MSc portfolio and the</w:t>
      </w:r>
      <w:r>
        <w:rPr>
          <w:rFonts w:ascii="Arial" w:hAnsi="Arial" w:cs="Arial"/>
          <w:sz w:val="24"/>
          <w:szCs w:val="24"/>
        </w:rPr>
        <w:t>ir</w:t>
      </w:r>
      <w:r w:rsidR="00703C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wish</w:t>
      </w:r>
      <w:r w:rsidR="00703CF5">
        <w:rPr>
          <w:rFonts w:ascii="Arial" w:hAnsi="Arial" w:cs="Arial"/>
          <w:sz w:val="24"/>
          <w:szCs w:val="24"/>
        </w:rPr>
        <w:t xml:space="preserve"> to recommend timely awards to </w:t>
      </w:r>
      <w:r w:rsidR="00691C90">
        <w:rPr>
          <w:rFonts w:ascii="Arial" w:hAnsi="Arial" w:cs="Arial"/>
          <w:sz w:val="24"/>
          <w:szCs w:val="24"/>
        </w:rPr>
        <w:t xml:space="preserve">PGT </w:t>
      </w:r>
      <w:r w:rsidR="00703CF5">
        <w:rPr>
          <w:rFonts w:ascii="Arial" w:hAnsi="Arial" w:cs="Arial"/>
          <w:sz w:val="24"/>
          <w:szCs w:val="24"/>
        </w:rPr>
        <w:t>students whose studies had overrun.</w:t>
      </w:r>
    </w:p>
    <w:p w:rsidR="00DE0429" w:rsidRPr="009B42D4" w:rsidRDefault="00DE0429" w:rsidP="00C522A0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:rsidR="00C522A0" w:rsidRDefault="00703CF5" w:rsidP="00C522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Option D garnered strong support and one academic commented that</w:t>
      </w:r>
      <w:r w:rsidR="00B727D9">
        <w:rPr>
          <w:rFonts w:ascii="Arial" w:hAnsi="Arial" w:cs="Arial"/>
          <w:sz w:val="24"/>
          <w:szCs w:val="24"/>
        </w:rPr>
        <w:t xml:space="preserve"> </w:t>
      </w:r>
      <w:r w:rsidR="00B727D9" w:rsidRPr="003F388D">
        <w:rPr>
          <w:rFonts w:ascii="Arial" w:hAnsi="Arial" w:cs="Arial"/>
          <w:sz w:val="24"/>
          <w:szCs w:val="24"/>
        </w:rPr>
        <w:t xml:space="preserve">a requirement for them to attend </w:t>
      </w:r>
      <w:r w:rsidR="00B727D9">
        <w:rPr>
          <w:rFonts w:ascii="Arial" w:hAnsi="Arial" w:cs="Arial"/>
          <w:sz w:val="24"/>
          <w:szCs w:val="24"/>
        </w:rPr>
        <w:t>was</w:t>
      </w:r>
      <w:r w:rsidR="00B727D9" w:rsidRPr="003F388D">
        <w:rPr>
          <w:rFonts w:ascii="Arial" w:hAnsi="Arial" w:cs="Arial"/>
          <w:sz w:val="24"/>
          <w:szCs w:val="24"/>
        </w:rPr>
        <w:t xml:space="preserve"> not necessary</w:t>
      </w:r>
      <w:r w:rsidR="00B727D9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C522A0" w:rsidRPr="003F388D">
        <w:rPr>
          <w:rFonts w:ascii="Arial" w:hAnsi="Arial" w:cs="Arial"/>
          <w:sz w:val="24"/>
          <w:szCs w:val="24"/>
        </w:rPr>
        <w:t xml:space="preserve">externals </w:t>
      </w:r>
      <w:r w:rsidR="00B727D9">
        <w:rPr>
          <w:rFonts w:ascii="Arial" w:hAnsi="Arial" w:cs="Arial"/>
          <w:sz w:val="24"/>
          <w:szCs w:val="24"/>
        </w:rPr>
        <w:t xml:space="preserve">would definitely </w:t>
      </w:r>
      <w:r w:rsidR="00C522A0" w:rsidRPr="003F388D">
        <w:rPr>
          <w:rFonts w:ascii="Arial" w:hAnsi="Arial" w:cs="Arial"/>
          <w:sz w:val="24"/>
          <w:szCs w:val="24"/>
        </w:rPr>
        <w:t xml:space="preserve">had reviewed work prior to </w:t>
      </w:r>
      <w:r>
        <w:rPr>
          <w:rFonts w:ascii="Arial" w:hAnsi="Arial" w:cs="Arial"/>
          <w:sz w:val="24"/>
          <w:szCs w:val="24"/>
        </w:rPr>
        <w:t>the</w:t>
      </w:r>
      <w:r w:rsidR="00C522A0" w:rsidRPr="003F388D">
        <w:rPr>
          <w:rFonts w:ascii="Arial" w:hAnsi="Arial" w:cs="Arial"/>
          <w:sz w:val="24"/>
          <w:szCs w:val="24"/>
        </w:rPr>
        <w:t xml:space="preserve"> </w:t>
      </w:r>
      <w:r w:rsidR="00993A44">
        <w:rPr>
          <w:rFonts w:ascii="Arial" w:hAnsi="Arial" w:cs="Arial"/>
          <w:sz w:val="24"/>
          <w:szCs w:val="24"/>
        </w:rPr>
        <w:t>B</w:t>
      </w:r>
      <w:r w:rsidR="00C522A0" w:rsidRPr="003F388D">
        <w:rPr>
          <w:rFonts w:ascii="Arial" w:hAnsi="Arial" w:cs="Arial"/>
          <w:sz w:val="24"/>
          <w:szCs w:val="24"/>
        </w:rPr>
        <w:t>o</w:t>
      </w:r>
      <w:r w:rsidR="00B727D9">
        <w:rPr>
          <w:rFonts w:ascii="Arial" w:hAnsi="Arial" w:cs="Arial"/>
          <w:sz w:val="24"/>
          <w:szCs w:val="24"/>
        </w:rPr>
        <w:t>ard and they</w:t>
      </w:r>
      <w:r w:rsidR="00C522A0" w:rsidRPr="003F388D">
        <w:rPr>
          <w:rFonts w:ascii="Arial" w:hAnsi="Arial" w:cs="Arial"/>
          <w:sz w:val="24"/>
          <w:szCs w:val="24"/>
        </w:rPr>
        <w:t xml:space="preserve"> would probably </w:t>
      </w:r>
      <w:r w:rsidR="00B727D9">
        <w:rPr>
          <w:rFonts w:ascii="Arial" w:hAnsi="Arial" w:cs="Arial"/>
          <w:sz w:val="24"/>
          <w:szCs w:val="24"/>
        </w:rPr>
        <w:t xml:space="preserve">have </w:t>
      </w:r>
      <w:r w:rsidR="00691C90">
        <w:rPr>
          <w:rFonts w:ascii="Arial" w:hAnsi="Arial" w:cs="Arial"/>
          <w:sz w:val="24"/>
          <w:szCs w:val="24"/>
        </w:rPr>
        <w:t>already visited</w:t>
      </w:r>
      <w:r w:rsidR="00C522A0" w:rsidRPr="003F388D">
        <w:rPr>
          <w:rFonts w:ascii="Arial" w:hAnsi="Arial" w:cs="Arial"/>
          <w:sz w:val="24"/>
          <w:szCs w:val="24"/>
        </w:rPr>
        <w:t xml:space="preserve"> to view work. </w:t>
      </w:r>
      <w:r w:rsidR="00691C90">
        <w:rPr>
          <w:rFonts w:ascii="Arial" w:hAnsi="Arial" w:cs="Arial"/>
          <w:sz w:val="24"/>
          <w:szCs w:val="24"/>
        </w:rPr>
        <w:t>It was noted that, as</w:t>
      </w:r>
      <w:r w:rsidR="00C522A0" w:rsidRPr="003F388D">
        <w:rPr>
          <w:rFonts w:ascii="Arial" w:hAnsi="Arial" w:cs="Arial"/>
          <w:sz w:val="24"/>
          <w:szCs w:val="24"/>
        </w:rPr>
        <w:t xml:space="preserve"> there are no award ceremonies following the Feb</w:t>
      </w:r>
      <w:r w:rsidR="00691C90">
        <w:rPr>
          <w:rFonts w:ascii="Arial" w:hAnsi="Arial" w:cs="Arial"/>
          <w:sz w:val="24"/>
          <w:szCs w:val="24"/>
        </w:rPr>
        <w:t>ruary</w:t>
      </w:r>
      <w:r w:rsidR="00C522A0" w:rsidRPr="003F388D">
        <w:rPr>
          <w:rFonts w:ascii="Arial" w:hAnsi="Arial" w:cs="Arial"/>
          <w:sz w:val="24"/>
          <w:szCs w:val="24"/>
        </w:rPr>
        <w:t xml:space="preserve"> </w:t>
      </w:r>
      <w:r w:rsidR="00691C90">
        <w:rPr>
          <w:rFonts w:ascii="Arial" w:hAnsi="Arial" w:cs="Arial"/>
          <w:sz w:val="24"/>
          <w:szCs w:val="24"/>
        </w:rPr>
        <w:t>B</w:t>
      </w:r>
      <w:r w:rsidR="00C522A0" w:rsidRPr="003F388D">
        <w:rPr>
          <w:rFonts w:ascii="Arial" w:hAnsi="Arial" w:cs="Arial"/>
          <w:sz w:val="24"/>
          <w:szCs w:val="24"/>
        </w:rPr>
        <w:t>oards</w:t>
      </w:r>
      <w:r w:rsidR="00691C90">
        <w:rPr>
          <w:rFonts w:ascii="Arial" w:hAnsi="Arial" w:cs="Arial"/>
          <w:sz w:val="24"/>
          <w:szCs w:val="24"/>
        </w:rPr>
        <w:t>, there is nothing for externals to sign off. Option D was supported if it did not</w:t>
      </w:r>
      <w:r w:rsidR="00C522A0" w:rsidRPr="003F388D">
        <w:rPr>
          <w:rFonts w:ascii="Arial" w:hAnsi="Arial" w:cs="Arial"/>
          <w:sz w:val="24"/>
          <w:szCs w:val="24"/>
        </w:rPr>
        <w:t xml:space="preserve"> preclude externals attending</w:t>
      </w:r>
      <w:r w:rsidR="00691C90">
        <w:rPr>
          <w:rFonts w:ascii="Arial" w:hAnsi="Arial" w:cs="Arial"/>
          <w:sz w:val="24"/>
          <w:szCs w:val="24"/>
        </w:rPr>
        <w:t>,</w:t>
      </w:r>
      <w:r w:rsidR="00C522A0" w:rsidRPr="003F388D">
        <w:rPr>
          <w:rFonts w:ascii="Arial" w:hAnsi="Arial" w:cs="Arial"/>
          <w:sz w:val="24"/>
          <w:szCs w:val="24"/>
        </w:rPr>
        <w:t xml:space="preserve"> if they wish</w:t>
      </w:r>
      <w:r w:rsidR="00691C90">
        <w:rPr>
          <w:rFonts w:ascii="Arial" w:hAnsi="Arial" w:cs="Arial"/>
          <w:sz w:val="24"/>
          <w:szCs w:val="24"/>
        </w:rPr>
        <w:t>ed</w:t>
      </w:r>
      <w:r w:rsidR="00C522A0" w:rsidRPr="003F388D">
        <w:rPr>
          <w:rFonts w:ascii="Arial" w:hAnsi="Arial" w:cs="Arial"/>
          <w:sz w:val="24"/>
          <w:szCs w:val="24"/>
        </w:rPr>
        <w:t>.</w:t>
      </w:r>
    </w:p>
    <w:p w:rsidR="00691C90" w:rsidRDefault="00691C90" w:rsidP="00C522A0">
      <w:pPr>
        <w:rPr>
          <w:rFonts w:ascii="Arial" w:hAnsi="Arial" w:cs="Arial"/>
          <w:sz w:val="24"/>
          <w:szCs w:val="24"/>
        </w:rPr>
      </w:pPr>
    </w:p>
    <w:p w:rsidR="00993A44" w:rsidRDefault="00691C90" w:rsidP="009B4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noted that Option E </w:t>
      </w:r>
      <w:r w:rsidR="009B42D4">
        <w:rPr>
          <w:rFonts w:ascii="Arial" w:hAnsi="Arial" w:cs="Arial"/>
          <w:sz w:val="24"/>
          <w:szCs w:val="24"/>
        </w:rPr>
        <w:t>might</w:t>
      </w:r>
      <w:r>
        <w:rPr>
          <w:rFonts w:ascii="Arial" w:hAnsi="Arial" w:cs="Arial"/>
          <w:sz w:val="24"/>
          <w:szCs w:val="24"/>
        </w:rPr>
        <w:t xml:space="preserve"> interfere with </w:t>
      </w:r>
      <w:r w:rsidR="00993A44">
        <w:rPr>
          <w:rFonts w:ascii="Arial" w:hAnsi="Arial" w:cs="Arial"/>
          <w:sz w:val="24"/>
          <w:szCs w:val="24"/>
        </w:rPr>
        <w:t xml:space="preserve">existing </w:t>
      </w:r>
      <w:r>
        <w:rPr>
          <w:rFonts w:ascii="Arial" w:hAnsi="Arial" w:cs="Arial"/>
          <w:sz w:val="24"/>
          <w:szCs w:val="24"/>
        </w:rPr>
        <w:t xml:space="preserve">plans for </w:t>
      </w:r>
      <w:r w:rsidR="009B42D4">
        <w:rPr>
          <w:rFonts w:ascii="Arial" w:hAnsi="Arial" w:cs="Arial"/>
          <w:sz w:val="24"/>
          <w:szCs w:val="24"/>
        </w:rPr>
        <w:t>continuous monitoring and evaluation (CME), the successor to AMR reporting</w:t>
      </w:r>
      <w:r>
        <w:rPr>
          <w:rFonts w:ascii="Arial" w:hAnsi="Arial" w:cs="Arial"/>
          <w:sz w:val="24"/>
          <w:szCs w:val="24"/>
        </w:rPr>
        <w:t>.</w:t>
      </w:r>
    </w:p>
    <w:p w:rsidR="009B42D4" w:rsidRDefault="009B42D4" w:rsidP="009B42D4">
      <w:pPr>
        <w:rPr>
          <w:rFonts w:ascii="Arial" w:hAnsi="Arial" w:cs="Arial"/>
          <w:sz w:val="24"/>
          <w:szCs w:val="24"/>
        </w:rPr>
      </w:pPr>
    </w:p>
    <w:p w:rsidR="00691C90" w:rsidRPr="003F388D" w:rsidRDefault="00691C90" w:rsidP="00691C9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 Denton, ADE, 1/12/17</w:t>
      </w:r>
    </w:p>
    <w:sectPr w:rsidR="00691C90" w:rsidRPr="003F38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C1"/>
    <w:rsid w:val="000F5FA4"/>
    <w:rsid w:val="001E1557"/>
    <w:rsid w:val="003B0E20"/>
    <w:rsid w:val="003F388D"/>
    <w:rsid w:val="0044680D"/>
    <w:rsid w:val="004C0487"/>
    <w:rsid w:val="00691C90"/>
    <w:rsid w:val="006C4B4D"/>
    <w:rsid w:val="00703CF5"/>
    <w:rsid w:val="00754DB5"/>
    <w:rsid w:val="00905B60"/>
    <w:rsid w:val="00993A44"/>
    <w:rsid w:val="009B42D4"/>
    <w:rsid w:val="00B727D9"/>
    <w:rsid w:val="00B90A5E"/>
    <w:rsid w:val="00C522A0"/>
    <w:rsid w:val="00DE0429"/>
    <w:rsid w:val="00F843C1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CCFB"/>
  <w15:chartTrackingRefBased/>
  <w15:docId w15:val="{DA50B3F3-673A-4019-B43B-FEB9A200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3C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hcpdent\Downloads\results-for-referral-week-2017-12-01-090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396843543007369"/>
          <c:y val="6.7666772867264427E-2"/>
          <c:w val="0.80547593051684196"/>
          <c:h val="0.707469846615993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'[results-for-referral-week-2017-12-01-0907.xlsx]Sheet 1'!$I$14</c:f>
              <c:strCache>
                <c:ptCount val="1"/>
                <c:pt idx="0">
                  <c:v>Option 1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'[results-for-referral-week-2017-12-01-0907.xlsx]Sheet 1'!$H$15:$H$18</c:f>
              <c:strCache>
                <c:ptCount val="4"/>
                <c:pt idx="0">
                  <c:v>NSP</c:v>
                </c:pt>
                <c:pt idx="1">
                  <c:v>PBS</c:v>
                </c:pt>
                <c:pt idx="2">
                  <c:v>SPS</c:v>
                </c:pt>
                <c:pt idx="3">
                  <c:v>Admin</c:v>
                </c:pt>
              </c:strCache>
            </c:strRef>
          </c:cat>
          <c:val>
            <c:numRef>
              <c:f>'[results-for-referral-week-2017-12-01-0907.xlsx]Sheet 1'!$I$15:$I$18</c:f>
              <c:numCache>
                <c:formatCode>0</c:formatCode>
                <c:ptCount val="4"/>
                <c:pt idx="0">
                  <c:v>57.777777777777771</c:v>
                </c:pt>
                <c:pt idx="1">
                  <c:v>52.380952380952387</c:v>
                </c:pt>
                <c:pt idx="2">
                  <c:v>71.428571428571431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F3-4643-B16F-25ABFCDE7169}"/>
            </c:ext>
          </c:extLst>
        </c:ser>
        <c:ser>
          <c:idx val="1"/>
          <c:order val="1"/>
          <c:tx>
            <c:strRef>
              <c:f>'[results-for-referral-week-2017-12-01-0907.xlsx]Sheet 1'!$J$14</c:f>
              <c:strCache>
                <c:ptCount val="1"/>
                <c:pt idx="0">
                  <c:v>Option 2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'[results-for-referral-week-2017-12-01-0907.xlsx]Sheet 1'!$H$15:$H$18</c:f>
              <c:strCache>
                <c:ptCount val="4"/>
                <c:pt idx="0">
                  <c:v>NSP</c:v>
                </c:pt>
                <c:pt idx="1">
                  <c:v>PBS</c:v>
                </c:pt>
                <c:pt idx="2">
                  <c:v>SPS</c:v>
                </c:pt>
                <c:pt idx="3">
                  <c:v>Admin</c:v>
                </c:pt>
              </c:strCache>
            </c:strRef>
          </c:cat>
          <c:val>
            <c:numRef>
              <c:f>'[results-for-referral-week-2017-12-01-0907.xlsx]Sheet 1'!$J$15:$J$18</c:f>
              <c:numCache>
                <c:formatCode>0</c:formatCode>
                <c:ptCount val="4"/>
                <c:pt idx="0">
                  <c:v>11.111111111111111</c:v>
                </c:pt>
                <c:pt idx="1">
                  <c:v>7.1428571428571423</c:v>
                </c:pt>
                <c:pt idx="2">
                  <c:v>7.1428571428571423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F3-4643-B16F-25ABFCDE7169}"/>
            </c:ext>
          </c:extLst>
        </c:ser>
        <c:ser>
          <c:idx val="2"/>
          <c:order val="2"/>
          <c:tx>
            <c:strRef>
              <c:f>'[results-for-referral-week-2017-12-01-0907.xlsx]Sheet 1'!$K$14</c:f>
              <c:strCache>
                <c:ptCount val="1"/>
                <c:pt idx="0">
                  <c:v>Option 3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'[results-for-referral-week-2017-12-01-0907.xlsx]Sheet 1'!$H$15:$H$18</c:f>
              <c:strCache>
                <c:ptCount val="4"/>
                <c:pt idx="0">
                  <c:v>NSP</c:v>
                </c:pt>
                <c:pt idx="1">
                  <c:v>PBS</c:v>
                </c:pt>
                <c:pt idx="2">
                  <c:v>SPS</c:v>
                </c:pt>
                <c:pt idx="3">
                  <c:v>Admin</c:v>
                </c:pt>
              </c:strCache>
            </c:strRef>
          </c:cat>
          <c:val>
            <c:numRef>
              <c:f>'[results-for-referral-week-2017-12-01-0907.xlsx]Sheet 1'!$K$15:$K$18</c:f>
              <c:numCache>
                <c:formatCode>0</c:formatCode>
                <c:ptCount val="4"/>
                <c:pt idx="0">
                  <c:v>46.666666666666664</c:v>
                </c:pt>
                <c:pt idx="1">
                  <c:v>40.476190476190474</c:v>
                </c:pt>
                <c:pt idx="2">
                  <c:v>21.428571428571427</c:v>
                </c:pt>
                <c:pt idx="3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F3-4643-B16F-25ABFCDE71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3404320"/>
        <c:axId val="473399072"/>
      </c:barChart>
      <c:catAx>
        <c:axId val="473404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73399072"/>
        <c:crosses val="autoZero"/>
        <c:auto val="1"/>
        <c:lblAlgn val="ctr"/>
        <c:lblOffset val="100"/>
        <c:noMultiLvlLbl val="0"/>
      </c:catAx>
      <c:valAx>
        <c:axId val="473399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120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% Response</a:t>
                </a:r>
              </a:p>
            </c:rich>
          </c:tx>
          <c:layout>
            <c:manualLayout>
              <c:xMode val="edge"/>
              <c:yMode val="edge"/>
              <c:x val="4.3036569857805296E-2"/>
              <c:y val="0.2825867431310970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73404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Denton, Philip</dc:creator>
  <cp:keywords/>
  <dc:description/>
  <cp:lastModifiedBy>Denton, Philip</cp:lastModifiedBy>
  <cp:revision>2</cp:revision>
  <dcterms:created xsi:type="dcterms:W3CDTF">2018-01-18T17:15:00Z</dcterms:created>
  <dcterms:modified xsi:type="dcterms:W3CDTF">2018-01-18T17:15:00Z</dcterms:modified>
</cp:coreProperties>
</file>