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37" w:rsidRPr="003E42E6" w:rsidRDefault="00396D37" w:rsidP="003E42E6">
      <w:pPr>
        <w:ind w:left="567" w:firstLine="0"/>
        <w:rPr>
          <w:b/>
          <w:color w:val="000000" w:themeColor="text1"/>
          <w:sz w:val="24"/>
          <w:szCs w:val="24"/>
        </w:rPr>
      </w:pPr>
      <w:r w:rsidRPr="003E42E6">
        <w:rPr>
          <w:b/>
          <w:color w:val="000000" w:themeColor="text1"/>
          <w:sz w:val="24"/>
          <w:szCs w:val="24"/>
        </w:rPr>
        <w:t>Faculty pedagogic research group (FPRG)</w:t>
      </w:r>
    </w:p>
    <w:p w:rsidR="00396D37" w:rsidRPr="003E42E6" w:rsidRDefault="00396D37" w:rsidP="003E42E6">
      <w:pPr>
        <w:ind w:left="567" w:firstLine="0"/>
        <w:rPr>
          <w:color w:val="000000" w:themeColor="text1"/>
          <w:sz w:val="24"/>
          <w:szCs w:val="24"/>
        </w:rPr>
      </w:pPr>
      <w:r w:rsidRPr="003E42E6">
        <w:rPr>
          <w:color w:val="000000" w:themeColor="text1"/>
          <w:sz w:val="24"/>
          <w:szCs w:val="24"/>
        </w:rPr>
        <w:t xml:space="preserve">12-2pm </w:t>
      </w:r>
      <w:r w:rsidR="00C6697B">
        <w:rPr>
          <w:color w:val="000000" w:themeColor="text1"/>
          <w:sz w:val="24"/>
          <w:szCs w:val="24"/>
        </w:rPr>
        <w:t>Friday</w:t>
      </w:r>
      <w:r w:rsidRPr="003E42E6">
        <w:rPr>
          <w:color w:val="000000" w:themeColor="text1"/>
          <w:sz w:val="24"/>
          <w:szCs w:val="24"/>
        </w:rPr>
        <w:t xml:space="preserve"> </w:t>
      </w:r>
      <w:r w:rsidR="00FB3456">
        <w:rPr>
          <w:color w:val="000000" w:themeColor="text1"/>
          <w:sz w:val="24"/>
          <w:szCs w:val="24"/>
        </w:rPr>
        <w:t>1</w:t>
      </w:r>
      <w:r w:rsidR="00C6697B">
        <w:rPr>
          <w:color w:val="000000" w:themeColor="text1"/>
          <w:sz w:val="24"/>
          <w:szCs w:val="24"/>
        </w:rPr>
        <w:t>5</w:t>
      </w:r>
      <w:r w:rsidR="00FB3456" w:rsidRPr="00FB3456">
        <w:rPr>
          <w:color w:val="000000" w:themeColor="text1"/>
          <w:sz w:val="24"/>
          <w:szCs w:val="24"/>
          <w:vertAlign w:val="superscript"/>
        </w:rPr>
        <w:t>th</w:t>
      </w:r>
      <w:r w:rsidR="00FB3456">
        <w:rPr>
          <w:color w:val="000000" w:themeColor="text1"/>
          <w:sz w:val="24"/>
          <w:szCs w:val="24"/>
        </w:rPr>
        <w:t xml:space="preserve"> April</w:t>
      </w:r>
      <w:r w:rsidRPr="003E42E6">
        <w:rPr>
          <w:color w:val="000000" w:themeColor="text1"/>
          <w:sz w:val="24"/>
          <w:szCs w:val="24"/>
        </w:rPr>
        <w:t xml:space="preserve"> Rm </w:t>
      </w:r>
      <w:r w:rsidR="00FB3456">
        <w:rPr>
          <w:color w:val="000000" w:themeColor="text1"/>
          <w:sz w:val="24"/>
          <w:szCs w:val="24"/>
        </w:rPr>
        <w:t>149, Tom Reilly Building</w:t>
      </w:r>
    </w:p>
    <w:p w:rsidR="00396D37" w:rsidRPr="003E42E6" w:rsidRDefault="00396D37" w:rsidP="003E42E6">
      <w:pPr>
        <w:ind w:left="567" w:firstLine="0"/>
        <w:rPr>
          <w:color w:val="000000" w:themeColor="text1"/>
          <w:sz w:val="24"/>
          <w:szCs w:val="24"/>
        </w:rPr>
      </w:pPr>
    </w:p>
    <w:p w:rsidR="00396D37" w:rsidRPr="003E42E6" w:rsidRDefault="00396D37" w:rsidP="003E42E6">
      <w:pPr>
        <w:ind w:left="567" w:firstLine="0"/>
        <w:rPr>
          <w:color w:val="000000" w:themeColor="text1"/>
          <w:sz w:val="24"/>
          <w:szCs w:val="24"/>
        </w:rPr>
      </w:pPr>
      <w:r w:rsidRPr="003E42E6">
        <w:rPr>
          <w:color w:val="000000" w:themeColor="text1"/>
          <w:sz w:val="24"/>
          <w:szCs w:val="24"/>
        </w:rPr>
        <w:t>To be discussed:</w:t>
      </w:r>
    </w:p>
    <w:p w:rsidR="00C6697B" w:rsidRPr="00C6697B" w:rsidRDefault="00C6697B" w:rsidP="00C6697B">
      <w:pPr>
        <w:pStyle w:val="ListParagraph"/>
        <w:numPr>
          <w:ilvl w:val="0"/>
          <w:numId w:val="7"/>
        </w:numPr>
        <w:spacing w:after="160" w:line="259" w:lineRule="auto"/>
        <w:rPr>
          <w:color w:val="000000" w:themeColor="text1"/>
          <w:sz w:val="24"/>
          <w:szCs w:val="24"/>
        </w:rPr>
      </w:pPr>
      <w:r w:rsidRPr="00C6697B">
        <w:rPr>
          <w:color w:val="000000" w:themeColor="text1"/>
          <w:sz w:val="24"/>
          <w:szCs w:val="24"/>
        </w:rPr>
        <w:t>Pedagogic research funding bids</w:t>
      </w:r>
      <w:r>
        <w:rPr>
          <w:color w:val="000000" w:themeColor="text1"/>
          <w:sz w:val="24"/>
          <w:szCs w:val="24"/>
        </w:rPr>
        <w:t>.</w:t>
      </w:r>
    </w:p>
    <w:p w:rsidR="00C6697B" w:rsidRPr="00C6697B" w:rsidRDefault="00C6697B" w:rsidP="00C6697B">
      <w:pPr>
        <w:pStyle w:val="ListParagraph"/>
        <w:numPr>
          <w:ilvl w:val="0"/>
          <w:numId w:val="7"/>
        </w:numPr>
        <w:spacing w:after="160" w:line="259" w:lineRule="auto"/>
        <w:rPr>
          <w:color w:val="000000" w:themeColor="text1"/>
          <w:sz w:val="24"/>
          <w:szCs w:val="24"/>
        </w:rPr>
      </w:pPr>
      <w:r w:rsidRPr="00C6697B">
        <w:rPr>
          <w:color w:val="000000" w:themeColor="text1"/>
          <w:sz w:val="24"/>
          <w:szCs w:val="24"/>
        </w:rPr>
        <w:t>Current pedagogic research projects.</w:t>
      </w:r>
    </w:p>
    <w:p w:rsidR="00C6697B" w:rsidRDefault="00C6697B" w:rsidP="00C6697B">
      <w:pPr>
        <w:pStyle w:val="ListParagraph"/>
        <w:numPr>
          <w:ilvl w:val="0"/>
          <w:numId w:val="7"/>
        </w:numPr>
        <w:spacing w:after="160" w:line="259" w:lineRule="auto"/>
        <w:rPr>
          <w:color w:val="000000" w:themeColor="text1"/>
          <w:sz w:val="24"/>
          <w:szCs w:val="24"/>
        </w:rPr>
      </w:pPr>
      <w:r w:rsidRPr="00C6697B">
        <w:rPr>
          <w:color w:val="000000" w:themeColor="text1"/>
          <w:sz w:val="24"/>
          <w:szCs w:val="24"/>
        </w:rPr>
        <w:t>Conferences of interest to members.</w:t>
      </w:r>
    </w:p>
    <w:p w:rsidR="00C6697B" w:rsidRDefault="0079397C" w:rsidP="00C6697B">
      <w:pPr>
        <w:pStyle w:val="ListParagraph"/>
        <w:numPr>
          <w:ilvl w:val="1"/>
          <w:numId w:val="7"/>
        </w:numPr>
        <w:spacing w:after="160" w:line="259" w:lineRule="auto"/>
        <w:rPr>
          <w:color w:val="000000" w:themeColor="text1"/>
          <w:sz w:val="24"/>
          <w:szCs w:val="24"/>
        </w:rPr>
      </w:pPr>
      <w:hyperlink r:id="rId7" w:history="1">
        <w:r w:rsidR="00C6697B" w:rsidRPr="00C6697B">
          <w:rPr>
            <w:rStyle w:val="Hyperlink"/>
            <w:sz w:val="24"/>
            <w:szCs w:val="24"/>
          </w:rPr>
          <w:t>HEA Surveys Conference 2016</w:t>
        </w:r>
      </w:hyperlink>
    </w:p>
    <w:p w:rsidR="00C6697B" w:rsidRDefault="0079397C" w:rsidP="00C6697B">
      <w:pPr>
        <w:pStyle w:val="ListParagraph"/>
        <w:numPr>
          <w:ilvl w:val="1"/>
          <w:numId w:val="7"/>
        </w:numPr>
        <w:spacing w:after="160" w:line="259" w:lineRule="auto"/>
        <w:rPr>
          <w:color w:val="000000" w:themeColor="text1"/>
          <w:sz w:val="24"/>
          <w:szCs w:val="24"/>
        </w:rPr>
      </w:pPr>
      <w:hyperlink r:id="rId8" w:history="1">
        <w:r w:rsidR="00C6697B" w:rsidRPr="00C6697B">
          <w:rPr>
            <w:rStyle w:val="Hyperlink"/>
            <w:sz w:val="24"/>
            <w:szCs w:val="24"/>
          </w:rPr>
          <w:t>Enhancing Student Wellbeing in Higher Education 2016</w:t>
        </w:r>
      </w:hyperlink>
    </w:p>
    <w:p w:rsidR="00C6697B" w:rsidRDefault="0079397C" w:rsidP="00C6697B">
      <w:pPr>
        <w:pStyle w:val="ListParagraph"/>
        <w:numPr>
          <w:ilvl w:val="1"/>
          <w:numId w:val="7"/>
        </w:numPr>
        <w:spacing w:after="160" w:line="259" w:lineRule="auto"/>
        <w:rPr>
          <w:color w:val="000000" w:themeColor="text1"/>
          <w:sz w:val="24"/>
          <w:szCs w:val="24"/>
        </w:rPr>
      </w:pPr>
      <w:hyperlink r:id="rId9" w:history="1">
        <w:r w:rsidR="00C6697B" w:rsidRPr="00C6697B">
          <w:rPr>
            <w:rStyle w:val="Hyperlink"/>
            <w:sz w:val="24"/>
            <w:szCs w:val="24"/>
          </w:rPr>
          <w:t>Research in the digital environment: Opportunities risks &amp; best practice</w:t>
        </w:r>
      </w:hyperlink>
    </w:p>
    <w:p w:rsidR="00C6697B" w:rsidRDefault="0079397C" w:rsidP="00C6697B">
      <w:pPr>
        <w:pStyle w:val="ListParagraph"/>
        <w:numPr>
          <w:ilvl w:val="1"/>
          <w:numId w:val="7"/>
        </w:numPr>
        <w:spacing w:after="160" w:line="259" w:lineRule="auto"/>
        <w:rPr>
          <w:color w:val="000000" w:themeColor="text1"/>
          <w:sz w:val="24"/>
          <w:szCs w:val="24"/>
        </w:rPr>
      </w:pPr>
      <w:hyperlink r:id="rId10" w:history="1">
        <w:r w:rsidR="00C6697B" w:rsidRPr="00C6697B">
          <w:rPr>
            <w:rStyle w:val="Hyperlink"/>
            <w:sz w:val="24"/>
            <w:szCs w:val="24"/>
          </w:rPr>
          <w:t>Digital learning and assessment in the Biosciences: approaches, successes &amp; future horizons</w:t>
        </w:r>
      </w:hyperlink>
    </w:p>
    <w:p w:rsidR="00C6697B" w:rsidRPr="00C6697B" w:rsidRDefault="00C6697B" w:rsidP="00C6697B">
      <w:pPr>
        <w:pStyle w:val="ListParagraph"/>
        <w:numPr>
          <w:ilvl w:val="0"/>
          <w:numId w:val="7"/>
        </w:numPr>
        <w:spacing w:after="160" w:line="259" w:lineRule="auto"/>
        <w:rPr>
          <w:color w:val="000000" w:themeColor="text1"/>
          <w:sz w:val="24"/>
          <w:szCs w:val="24"/>
        </w:rPr>
      </w:pPr>
      <w:r w:rsidRPr="00C6697B">
        <w:rPr>
          <w:color w:val="000000" w:themeColor="text1"/>
          <w:sz w:val="24"/>
          <w:szCs w:val="24"/>
        </w:rPr>
        <w:t>June meeting of the FPRG and LJMU L&amp;T Conference</w:t>
      </w:r>
    </w:p>
    <w:p w:rsidR="00C6697B" w:rsidRDefault="00C6697B" w:rsidP="00C6697B">
      <w:pPr>
        <w:pStyle w:val="ListParagraph"/>
        <w:numPr>
          <w:ilvl w:val="0"/>
          <w:numId w:val="7"/>
        </w:numPr>
        <w:spacing w:after="160" w:line="259" w:lineRule="auto"/>
        <w:rPr>
          <w:color w:val="000000" w:themeColor="text1"/>
          <w:sz w:val="24"/>
          <w:szCs w:val="24"/>
        </w:rPr>
      </w:pPr>
      <w:r>
        <w:rPr>
          <w:color w:val="000000" w:themeColor="text1"/>
          <w:sz w:val="24"/>
          <w:szCs w:val="24"/>
        </w:rPr>
        <w:t>Pedagogic Research PhD possibilities</w:t>
      </w:r>
    </w:p>
    <w:p w:rsidR="00396D37" w:rsidRDefault="00396D37" w:rsidP="00C6697B">
      <w:pPr>
        <w:spacing w:after="160" w:line="259" w:lineRule="auto"/>
        <w:ind w:left="567" w:right="0" w:firstLine="0"/>
        <w:jc w:val="left"/>
        <w:rPr>
          <w:rFonts w:eastAsia="Verdana"/>
          <w:b/>
          <w:color w:val="000000" w:themeColor="text1"/>
          <w:sz w:val="24"/>
          <w:szCs w:val="24"/>
        </w:rPr>
      </w:pPr>
      <w:r w:rsidRPr="003E42E6">
        <w:rPr>
          <w:rFonts w:eastAsia="Verdana"/>
          <w:b/>
          <w:color w:val="000000" w:themeColor="text1"/>
          <w:sz w:val="24"/>
          <w:szCs w:val="24"/>
        </w:rPr>
        <w:t>Journal Club</w:t>
      </w:r>
    </w:p>
    <w:p w:rsidR="00C6697B" w:rsidRDefault="0079397C" w:rsidP="00C6697B">
      <w:pPr>
        <w:spacing w:after="160" w:line="259" w:lineRule="auto"/>
        <w:ind w:left="567" w:right="0" w:firstLine="0"/>
        <w:jc w:val="left"/>
        <w:rPr>
          <w:rFonts w:ascii="OpenSans" w:eastAsiaTheme="minorEastAsia" w:hAnsi="OpenSans" w:cs="OpenSans"/>
          <w:color w:val="auto"/>
          <w:sz w:val="20"/>
          <w:szCs w:val="20"/>
        </w:rPr>
      </w:pPr>
      <w:hyperlink r:id="rId11" w:history="1">
        <w:r w:rsidR="00C6697B" w:rsidRPr="00C6697B">
          <w:rPr>
            <w:rStyle w:val="Hyperlink"/>
            <w:rFonts w:ascii="OpenSans" w:eastAsiaTheme="minorEastAsia" w:hAnsi="OpenSans" w:cs="OpenSans"/>
            <w:sz w:val="20"/>
            <w:szCs w:val="20"/>
          </w:rPr>
          <w:t>Thomas M. Onorato (2014) Connecting Students and Microbiology Through the Lived Experience, Community College Journal of Research and Practice, 38:7, 625-637</w:t>
        </w:r>
      </w:hyperlink>
    </w:p>
    <w:p w:rsidR="00C6697B" w:rsidRPr="00C6697B" w:rsidRDefault="00C6697B" w:rsidP="00C6697B">
      <w:pPr>
        <w:spacing w:after="160" w:line="259" w:lineRule="auto"/>
        <w:ind w:left="567" w:right="0" w:firstLine="0"/>
        <w:jc w:val="left"/>
        <w:rPr>
          <w:rFonts w:eastAsia="Verdana"/>
          <w:b/>
          <w:color w:val="000000" w:themeColor="text1"/>
          <w:sz w:val="24"/>
          <w:szCs w:val="24"/>
        </w:rPr>
      </w:pPr>
      <w:r w:rsidRPr="00C6697B">
        <w:rPr>
          <w:rFonts w:eastAsia="Verdana"/>
          <w:b/>
          <w:color w:val="000000" w:themeColor="text1"/>
          <w:sz w:val="24"/>
          <w:szCs w:val="24"/>
        </w:rPr>
        <w:t>Questions</w:t>
      </w:r>
    </w:p>
    <w:p w:rsidR="0079397C" w:rsidRPr="0079397C" w:rsidRDefault="0079397C" w:rsidP="0079397C">
      <w:pPr>
        <w:spacing w:after="160" w:line="259" w:lineRule="auto"/>
        <w:ind w:left="567" w:right="0" w:firstLine="0"/>
        <w:jc w:val="left"/>
        <w:rPr>
          <w:rFonts w:eastAsia="Verdana"/>
          <w:i/>
          <w:color w:val="000000" w:themeColor="text1"/>
          <w:sz w:val="24"/>
          <w:szCs w:val="24"/>
        </w:rPr>
      </w:pPr>
      <w:r w:rsidRPr="0079397C">
        <w:rPr>
          <w:rFonts w:eastAsia="Verdana"/>
          <w:i/>
          <w:color w:val="000000" w:themeColor="text1"/>
          <w:sz w:val="24"/>
          <w:szCs w:val="24"/>
        </w:rPr>
        <w:t>Before you read the paper</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1. </w:t>
      </w:r>
      <w:r w:rsidRPr="0079397C">
        <w:rPr>
          <w:rFonts w:eastAsia="Verdana"/>
          <w:color w:val="000000" w:themeColor="text1"/>
          <w:sz w:val="24"/>
          <w:szCs w:val="24"/>
        </w:rPr>
        <w:t>What does ‘lifewide learning’ mean?</w:t>
      </w:r>
      <w:bookmarkStart w:id="0" w:name="_GoBack"/>
      <w:bookmarkEnd w:id="0"/>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2. </w:t>
      </w:r>
      <w:r w:rsidRPr="0079397C">
        <w:rPr>
          <w:rFonts w:eastAsia="Verdana"/>
          <w:color w:val="000000" w:themeColor="text1"/>
          <w:sz w:val="24"/>
          <w:szCs w:val="24"/>
        </w:rPr>
        <w:t>How does it differ from ‘lifelong learning’?</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3. </w:t>
      </w:r>
      <w:r w:rsidRPr="0079397C">
        <w:rPr>
          <w:rFonts w:eastAsia="Verdana"/>
          <w:color w:val="000000" w:themeColor="text1"/>
          <w:sz w:val="24"/>
          <w:szCs w:val="24"/>
        </w:rPr>
        <w:t xml:space="preserve">Is it something we currently utilise in undergraduate teaching? </w:t>
      </w:r>
    </w:p>
    <w:p w:rsidR="0079397C" w:rsidRDefault="0079397C" w:rsidP="0079397C">
      <w:pPr>
        <w:spacing w:after="160" w:line="259" w:lineRule="auto"/>
        <w:ind w:left="567" w:right="0" w:firstLine="0"/>
        <w:jc w:val="left"/>
        <w:rPr>
          <w:rFonts w:eastAsia="Verdana"/>
          <w:color w:val="000000" w:themeColor="text1"/>
          <w:sz w:val="24"/>
          <w:szCs w:val="24"/>
        </w:rPr>
      </w:pPr>
    </w:p>
    <w:p w:rsidR="0079397C" w:rsidRPr="0079397C" w:rsidRDefault="0079397C" w:rsidP="0079397C">
      <w:pPr>
        <w:spacing w:after="160" w:line="259" w:lineRule="auto"/>
        <w:ind w:left="567" w:right="0" w:firstLine="0"/>
        <w:jc w:val="left"/>
        <w:rPr>
          <w:rFonts w:eastAsia="Verdana"/>
          <w:i/>
          <w:color w:val="000000" w:themeColor="text1"/>
          <w:sz w:val="24"/>
          <w:szCs w:val="24"/>
        </w:rPr>
      </w:pPr>
      <w:r w:rsidRPr="0079397C">
        <w:rPr>
          <w:rFonts w:eastAsia="Verdana"/>
          <w:i/>
          <w:color w:val="000000" w:themeColor="text1"/>
          <w:sz w:val="24"/>
          <w:szCs w:val="24"/>
        </w:rPr>
        <w:t>Whilst reading the paper</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1. </w:t>
      </w:r>
      <w:r w:rsidRPr="0079397C">
        <w:rPr>
          <w:rFonts w:eastAsia="Verdana"/>
          <w:color w:val="000000" w:themeColor="text1"/>
          <w:sz w:val="24"/>
          <w:szCs w:val="24"/>
        </w:rPr>
        <w:t xml:space="preserve">The second sentence of this paper reads’ One of the greatest challenges encountered is moving students beyond the memorisation of seemingly disconnected scientific facts to pass an exam.’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To what extent do you believe this is true of our students?</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 xml:space="preserve">At what level?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How are we addressing this issue, if it is a problem, in our current or newly validated programmes?</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2. </w:t>
      </w:r>
      <w:r w:rsidRPr="0079397C">
        <w:rPr>
          <w:rFonts w:eastAsia="Verdana"/>
          <w:color w:val="000000" w:themeColor="text1"/>
          <w:sz w:val="24"/>
          <w:szCs w:val="24"/>
        </w:rPr>
        <w:t>P267 lays out an assignment designed to help students relate theory to real life experiences, and introduce them to critical analysis.</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 xml:space="preserve"> If you had set this assignment, at what level of study would you put it?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How would you help students develop the necessary skills – or would you just ‘let them loose’ on the assignment?</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 xml:space="preserve">How would you assess it?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 xml:space="preserve">What is the maximum number of students do you think could be assessed by this process?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3. </w:t>
      </w:r>
      <w:r w:rsidRPr="0079397C">
        <w:rPr>
          <w:rFonts w:eastAsia="Verdana"/>
          <w:color w:val="000000" w:themeColor="text1"/>
          <w:sz w:val="24"/>
          <w:szCs w:val="24"/>
        </w:rPr>
        <w:t xml:space="preserve">Consider the student response on p632-634.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Is this student demonstrating o</w:t>
      </w:r>
      <w:r>
        <w:rPr>
          <w:rFonts w:eastAsia="Verdana"/>
          <w:color w:val="000000" w:themeColor="text1"/>
          <w:sz w:val="24"/>
          <w:szCs w:val="24"/>
        </w:rPr>
        <w:t>b</w:t>
      </w:r>
      <w:r w:rsidRPr="0079397C">
        <w:rPr>
          <w:rFonts w:eastAsia="Verdana"/>
          <w:color w:val="000000" w:themeColor="text1"/>
          <w:sz w:val="24"/>
          <w:szCs w:val="24"/>
        </w:rPr>
        <w:t>servation and reflection at</w:t>
      </w:r>
      <w:r>
        <w:rPr>
          <w:rFonts w:eastAsia="Verdana"/>
          <w:color w:val="000000" w:themeColor="text1"/>
          <w:sz w:val="24"/>
          <w:szCs w:val="24"/>
        </w:rPr>
        <w:t xml:space="preserve"> level 3, 4 5, 6</w:t>
      </w:r>
      <w:r w:rsidRPr="0079397C">
        <w:rPr>
          <w:rFonts w:eastAsia="Verdana"/>
          <w:color w:val="000000" w:themeColor="text1"/>
          <w:sz w:val="24"/>
          <w:szCs w:val="24"/>
        </w:rPr>
        <w:t xml:space="preserve"> or 7?</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4. </w:t>
      </w:r>
      <w:r w:rsidRPr="0079397C">
        <w:rPr>
          <w:rFonts w:eastAsia="Verdana"/>
          <w:color w:val="000000" w:themeColor="text1"/>
          <w:sz w:val="24"/>
          <w:szCs w:val="24"/>
        </w:rPr>
        <w:t xml:space="preserve">Several of the comments suggest students have engaged with their subject material at some level. This is effectively an elective module as described.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lastRenderedPageBreak/>
        <w:t>•</w:t>
      </w:r>
      <w:r w:rsidRPr="0079397C">
        <w:rPr>
          <w:rFonts w:eastAsia="Verdana"/>
          <w:color w:val="000000" w:themeColor="text1"/>
          <w:sz w:val="24"/>
          <w:szCs w:val="24"/>
        </w:rPr>
        <w:tab/>
        <w:t>Could this approach be used with core material and/or option material?</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If use of a disease is not appropriate in your subject area how could the concept be adapted?</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How would you develop the approach fr higher levels of study?</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Is a stage-by stage-development and production of a portfolio the best approach to teaching and assessing this assignment?</w:t>
      </w:r>
    </w:p>
    <w:p w:rsidR="0079397C" w:rsidRPr="0079397C" w:rsidRDefault="0079397C" w:rsidP="0079397C">
      <w:pPr>
        <w:spacing w:after="160" w:line="259" w:lineRule="auto"/>
        <w:ind w:left="567" w:right="0" w:firstLine="0"/>
        <w:jc w:val="left"/>
        <w:rPr>
          <w:rFonts w:eastAsia="Verdana"/>
          <w:color w:val="000000" w:themeColor="text1"/>
          <w:sz w:val="24"/>
          <w:szCs w:val="24"/>
        </w:rPr>
      </w:pPr>
    </w:p>
    <w:p w:rsidR="0079397C" w:rsidRPr="0079397C" w:rsidRDefault="0079397C" w:rsidP="0079397C">
      <w:pPr>
        <w:spacing w:after="160" w:line="259" w:lineRule="auto"/>
        <w:ind w:left="567" w:right="0" w:firstLine="0"/>
        <w:jc w:val="left"/>
        <w:rPr>
          <w:rFonts w:eastAsia="Verdana"/>
          <w:i/>
          <w:color w:val="000000" w:themeColor="text1"/>
          <w:sz w:val="24"/>
          <w:szCs w:val="24"/>
        </w:rPr>
      </w:pPr>
      <w:r w:rsidRPr="0079397C">
        <w:rPr>
          <w:rFonts w:eastAsia="Verdana"/>
          <w:i/>
          <w:color w:val="000000" w:themeColor="text1"/>
          <w:sz w:val="24"/>
          <w:szCs w:val="24"/>
        </w:rPr>
        <w:t>After reading the paper</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1. </w:t>
      </w:r>
      <w:r w:rsidRPr="0079397C">
        <w:rPr>
          <w:rFonts w:eastAsia="Verdana"/>
          <w:color w:val="000000" w:themeColor="text1"/>
          <w:sz w:val="24"/>
          <w:szCs w:val="24"/>
        </w:rPr>
        <w:t xml:space="preserve">This is a badly designed paper in that the author does not comment on preparing the students for this approach, the delivery or assessment of the material, any constraints such as time or word limit on the student portfolio development..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Does this detract from its central message about engagement?</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2. </w:t>
      </w:r>
      <w:r w:rsidRPr="0079397C">
        <w:rPr>
          <w:rFonts w:eastAsia="Verdana"/>
          <w:color w:val="000000" w:themeColor="text1"/>
          <w:sz w:val="24"/>
          <w:szCs w:val="24"/>
        </w:rPr>
        <w:t>The author used a portfolio approach to assess the work. How else might you assess the range of skills addressed here?</w:t>
      </w:r>
    </w:p>
    <w:p w:rsidR="0079397C" w:rsidRPr="0079397C" w:rsidRDefault="0079397C" w:rsidP="0079397C">
      <w:pPr>
        <w:spacing w:after="160" w:line="259" w:lineRule="auto"/>
        <w:ind w:left="567" w:right="0" w:firstLine="0"/>
        <w:jc w:val="left"/>
        <w:rPr>
          <w:rFonts w:eastAsia="Verdana"/>
          <w:color w:val="000000" w:themeColor="text1"/>
          <w:sz w:val="24"/>
          <w:szCs w:val="24"/>
        </w:rPr>
      </w:pPr>
      <w:r>
        <w:rPr>
          <w:rFonts w:eastAsia="Verdana"/>
          <w:color w:val="000000" w:themeColor="text1"/>
          <w:sz w:val="24"/>
          <w:szCs w:val="24"/>
        </w:rPr>
        <w:t xml:space="preserve">3. </w:t>
      </w:r>
      <w:r w:rsidRPr="0079397C">
        <w:rPr>
          <w:rFonts w:eastAsia="Verdana"/>
          <w:color w:val="000000" w:themeColor="text1"/>
          <w:sz w:val="24"/>
          <w:szCs w:val="24"/>
        </w:rPr>
        <w:t xml:space="preserve">This exercise attempted to bring together theory, real world experience and critical analysis. </w:t>
      </w:r>
    </w:p>
    <w:p w:rsidR="0079397C" w:rsidRPr="0079397C" w:rsidRDefault="0079397C" w:rsidP="0079397C">
      <w:pPr>
        <w:spacing w:after="160" w:line="259" w:lineRule="auto"/>
        <w:ind w:left="567" w:right="0" w:firstLine="0"/>
        <w:jc w:val="left"/>
        <w:rPr>
          <w:rFonts w:eastAsia="Verdana"/>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Did it succeed?</w:t>
      </w:r>
    </w:p>
    <w:p w:rsidR="00FB3456" w:rsidRPr="00080192" w:rsidRDefault="0079397C" w:rsidP="0079397C">
      <w:pPr>
        <w:spacing w:after="160" w:line="259" w:lineRule="auto"/>
        <w:ind w:left="567" w:right="0" w:firstLine="0"/>
        <w:jc w:val="left"/>
        <w:rPr>
          <w:rFonts w:eastAsia="Verdana"/>
          <w:b/>
          <w:color w:val="000000" w:themeColor="text1"/>
          <w:sz w:val="24"/>
          <w:szCs w:val="24"/>
        </w:rPr>
      </w:pPr>
      <w:r w:rsidRPr="0079397C">
        <w:rPr>
          <w:rFonts w:eastAsia="Verdana"/>
          <w:color w:val="000000" w:themeColor="text1"/>
          <w:sz w:val="24"/>
          <w:szCs w:val="24"/>
        </w:rPr>
        <w:t>•</w:t>
      </w:r>
      <w:r w:rsidRPr="0079397C">
        <w:rPr>
          <w:rFonts w:eastAsia="Verdana"/>
          <w:color w:val="000000" w:themeColor="text1"/>
          <w:sz w:val="24"/>
          <w:szCs w:val="24"/>
        </w:rPr>
        <w:tab/>
        <w:t xml:space="preserve"> Would this approach work in your subject area? If so, would you see it as a potential tutorial exercise (say over 3 tutorials), a potential induction week or DSW exercise, part of module on issues/perspectives in the subject, or some other component?</w:t>
      </w:r>
    </w:p>
    <w:sectPr w:rsidR="00FB3456" w:rsidRPr="00080192" w:rsidSect="00FB3456">
      <w:headerReference w:type="even" r:id="rId12"/>
      <w:headerReference w:type="default" r:id="rId13"/>
      <w:headerReference w:type="first" r:id="rId14"/>
      <w:type w:val="continuous"/>
      <w:pgSz w:w="11907" w:h="16839" w:code="9"/>
      <w:pgMar w:top="311" w:right="432" w:bottom="519" w:left="432"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37" w:rsidRDefault="00396D37">
      <w:pPr>
        <w:spacing w:after="0" w:line="240" w:lineRule="auto"/>
      </w:pPr>
      <w:r>
        <w:separator/>
      </w:r>
    </w:p>
  </w:endnote>
  <w:endnote w:type="continuationSeparator" w:id="0">
    <w:p w:rsidR="00396D37" w:rsidRDefault="0039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37" w:rsidRDefault="00396D37">
      <w:pPr>
        <w:spacing w:after="0" w:line="240" w:lineRule="auto"/>
      </w:pPr>
      <w:r>
        <w:separator/>
      </w:r>
    </w:p>
  </w:footnote>
  <w:footnote w:type="continuationSeparator" w:id="0">
    <w:p w:rsidR="00396D37" w:rsidRDefault="00396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37" w:rsidRDefault="00396D37">
    <w:pPr>
      <w:tabs>
        <w:tab w:val="center" w:pos="1296"/>
      </w:tabs>
      <w:spacing w:after="0" w:line="259" w:lineRule="auto"/>
      <w:ind w:left="0" w:right="0" w:firstLine="0"/>
      <w:jc w:val="left"/>
    </w:pPr>
    <w:r>
      <w:fldChar w:fldCharType="begin"/>
    </w:r>
    <w:r>
      <w:instrText xml:space="preserve"> PAGE   \* MERGEFORMAT </w:instrText>
    </w:r>
    <w:r>
      <w:fldChar w:fldCharType="separate"/>
    </w:r>
    <w:r w:rsidR="0079397C" w:rsidRPr="0079397C">
      <w:rPr>
        <w:noProof/>
        <w:sz w:val="20"/>
      </w:rPr>
      <w:t>2</w:t>
    </w:r>
    <w:r>
      <w:rPr>
        <w:sz w:val="20"/>
      </w:rPr>
      <w:fldChar w:fldCharType="end"/>
    </w:r>
    <w:r>
      <w:rPr>
        <w:sz w:val="20"/>
      </w:rPr>
      <w:tab/>
      <w:t>A. Bowles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37" w:rsidRDefault="00396D37">
    <w:pPr>
      <w:tabs>
        <w:tab w:val="center" w:pos="4759"/>
        <w:tab w:val="right" w:pos="7202"/>
      </w:tabs>
      <w:spacing w:after="0" w:line="259" w:lineRule="auto"/>
      <w:ind w:left="0" w:right="0" w:firstLine="0"/>
      <w:jc w:val="left"/>
    </w:pPr>
    <w:r>
      <w:rPr>
        <w:rFonts w:ascii="Calibri" w:eastAsia="Calibri" w:hAnsi="Calibri" w:cs="Calibri"/>
        <w:color w:val="000000"/>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37" w:rsidRDefault="00396D37">
    <w:pPr>
      <w:tabs>
        <w:tab w:val="center" w:pos="4759"/>
        <w:tab w:val="right" w:pos="7202"/>
      </w:tabs>
      <w:spacing w:after="0" w:line="259" w:lineRule="auto"/>
      <w:ind w:left="0" w:right="0" w:firstLine="0"/>
      <w:jc w:val="left"/>
    </w:pPr>
    <w:r>
      <w:rPr>
        <w:rFonts w:ascii="Calibri" w:eastAsia="Calibri" w:hAnsi="Calibri" w:cs="Calibri"/>
        <w:color w:val="000000"/>
        <w:sz w:val="22"/>
      </w:rPr>
      <w:tab/>
    </w:r>
    <w:r>
      <w:rPr>
        <w:sz w:val="20"/>
      </w:rPr>
      <w:t>Higher Education Research &amp; Development</w:t>
    </w:r>
    <w:r>
      <w:rPr>
        <w:sz w:val="20"/>
      </w:rPr>
      <w:tab/>
    </w:r>
    <w:r>
      <w:fldChar w:fldCharType="begin"/>
    </w:r>
    <w:r>
      <w:instrText xml:space="preserve"> PAGE   \* MERGEFORMAT </w:instrText>
    </w:r>
    <w:r>
      <w:fldChar w:fldCharType="separate"/>
    </w:r>
    <w:r>
      <w:rPr>
        <w:sz w:val="20"/>
      </w:rPr>
      <w:t>213</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7D50"/>
    <w:multiLevelType w:val="hybridMultilevel"/>
    <w:tmpl w:val="7FE2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751C"/>
    <w:multiLevelType w:val="hybridMultilevel"/>
    <w:tmpl w:val="091CC1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F4A3F00"/>
    <w:multiLevelType w:val="hybridMultilevel"/>
    <w:tmpl w:val="64A4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16CA9"/>
    <w:multiLevelType w:val="hybridMultilevel"/>
    <w:tmpl w:val="DC8C76F2"/>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4" w15:restartNumberingAfterBreak="0">
    <w:nsid w:val="4A834334"/>
    <w:multiLevelType w:val="hybridMultilevel"/>
    <w:tmpl w:val="B036AE70"/>
    <w:lvl w:ilvl="0" w:tplc="83747980">
      <w:numFmt w:val="bullet"/>
      <w:lvlText w:val="•"/>
      <w:lvlJc w:val="left"/>
      <w:pPr>
        <w:ind w:left="927" w:hanging="360"/>
      </w:pPr>
      <w:rPr>
        <w:rFonts w:ascii="Times New Roman" w:eastAsiaTheme="minorEastAsia" w:hAnsi="Times New Roman"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69B72DD"/>
    <w:multiLevelType w:val="hybridMultilevel"/>
    <w:tmpl w:val="9C947398"/>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6" w15:restartNumberingAfterBreak="0">
    <w:nsid w:val="7B012EE4"/>
    <w:multiLevelType w:val="hybridMultilevel"/>
    <w:tmpl w:val="1DEC5B08"/>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AA"/>
    <w:rsid w:val="00080192"/>
    <w:rsid w:val="000919CA"/>
    <w:rsid w:val="002F2A6C"/>
    <w:rsid w:val="00396D37"/>
    <w:rsid w:val="003E42E6"/>
    <w:rsid w:val="00454DAA"/>
    <w:rsid w:val="0079397C"/>
    <w:rsid w:val="007B0527"/>
    <w:rsid w:val="00B23EF0"/>
    <w:rsid w:val="00C6697B"/>
    <w:rsid w:val="00CE195B"/>
    <w:rsid w:val="00DB5FFA"/>
    <w:rsid w:val="00F11A9D"/>
    <w:rsid w:val="00FB345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19A37F1-7BB9-479C-9C60-42511623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4" w:lineRule="auto"/>
      <w:ind w:left="900" w:right="896" w:firstLine="291"/>
      <w:jc w:val="both"/>
    </w:pPr>
    <w:rPr>
      <w:rFonts w:ascii="Times New Roman" w:eastAsia="Times New Roman" w:hAnsi="Times New Roman" w:cs="Times New Roman"/>
      <w:color w:val="211F1F"/>
      <w:sz w:val="21"/>
    </w:rPr>
  </w:style>
  <w:style w:type="paragraph" w:styleId="Heading1">
    <w:name w:val="heading 1"/>
    <w:next w:val="Normal"/>
    <w:link w:val="Heading1Char"/>
    <w:uiPriority w:val="9"/>
    <w:unhideWhenUsed/>
    <w:qFormat/>
    <w:pPr>
      <w:keepNext/>
      <w:keepLines/>
      <w:spacing w:after="0" w:line="246" w:lineRule="auto"/>
      <w:ind w:left="3034" w:hanging="10"/>
      <w:outlineLvl w:val="0"/>
    </w:pPr>
    <w:rPr>
      <w:rFonts w:ascii="Trebuchet MS" w:eastAsia="Trebuchet MS" w:hAnsi="Trebuchet MS" w:cs="Trebuchet MS"/>
      <w:b/>
      <w:color w:val="000000"/>
      <w:sz w:val="32"/>
    </w:rPr>
  </w:style>
  <w:style w:type="paragraph" w:styleId="Heading2">
    <w:name w:val="heading 2"/>
    <w:next w:val="Normal"/>
    <w:link w:val="Heading2Char"/>
    <w:uiPriority w:val="9"/>
    <w:unhideWhenUsed/>
    <w:qFormat/>
    <w:pPr>
      <w:keepNext/>
      <w:keepLines/>
      <w:spacing w:after="37"/>
      <w:ind w:left="910" w:hanging="10"/>
      <w:outlineLvl w:val="1"/>
    </w:pPr>
    <w:rPr>
      <w:rFonts w:ascii="Times New Roman" w:eastAsia="Times New Roman" w:hAnsi="Times New Roman" w:cs="Times New Roman"/>
      <w:color w:val="211F1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11F1F"/>
      <w:sz w:val="21"/>
    </w:rPr>
  </w:style>
  <w:style w:type="character" w:customStyle="1" w:styleId="Heading1Char">
    <w:name w:val="Heading 1 Char"/>
    <w:link w:val="Heading1"/>
    <w:rPr>
      <w:rFonts w:ascii="Trebuchet MS" w:eastAsia="Trebuchet MS" w:hAnsi="Trebuchet MS" w:cs="Trebuchet MS"/>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96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D37"/>
    <w:rPr>
      <w:rFonts w:ascii="Times New Roman" w:eastAsia="Times New Roman" w:hAnsi="Times New Roman" w:cs="Times New Roman"/>
      <w:color w:val="211F1F"/>
      <w:sz w:val="21"/>
    </w:rPr>
  </w:style>
  <w:style w:type="paragraph" w:styleId="ListParagraph">
    <w:name w:val="List Paragraph"/>
    <w:basedOn w:val="Normal"/>
    <w:uiPriority w:val="34"/>
    <w:qFormat/>
    <w:rsid w:val="00396D37"/>
    <w:pPr>
      <w:spacing w:after="200" w:line="276" w:lineRule="auto"/>
      <w:ind w:left="720" w:right="0" w:firstLine="0"/>
      <w:contextualSpacing/>
      <w:jc w:val="left"/>
    </w:pPr>
    <w:rPr>
      <w:rFonts w:asciiTheme="minorHAnsi" w:eastAsiaTheme="minorEastAsia" w:hAnsiTheme="minorHAnsi" w:cstheme="minorBidi"/>
      <w:color w:val="auto"/>
      <w:sz w:val="22"/>
      <w:lang w:eastAsia="zh-CN"/>
    </w:rPr>
  </w:style>
  <w:style w:type="character" w:styleId="Hyperlink">
    <w:name w:val="Hyperlink"/>
    <w:basedOn w:val="DefaultParagraphFont"/>
    <w:uiPriority w:val="99"/>
    <w:unhideWhenUsed/>
    <w:rsid w:val="00C6697B"/>
    <w:rPr>
      <w:color w:val="0563C1" w:themeColor="hyperlink"/>
      <w:u w:val="single"/>
    </w:rPr>
  </w:style>
  <w:style w:type="character" w:styleId="FollowedHyperlink">
    <w:name w:val="FollowedHyperlink"/>
    <w:basedOn w:val="DefaultParagraphFont"/>
    <w:uiPriority w:val="99"/>
    <w:semiHidden/>
    <w:unhideWhenUsed/>
    <w:rsid w:val="00C66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nsidegovernment.co.uk/event-details/student_wellbe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heacademy.ac.uk/events-conferences/event/hea-surveys-conference-2016-linking-enhancement-and-excellenc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wie.ljmu.ac.uk/FacultyLTA/FPRG/Connecting%20Students%20and%20Microbiology.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ventbrite.co.uk/e/head-of-biosciences-learning-and-teaching-workshop-digital-learning-assessment-in-the-biosciences-tickets-24211558423" TargetMode="External"/><Relationship Id="rId4" Type="http://schemas.openxmlformats.org/officeDocument/2006/relationships/webSettings" Target="webSettings.xml"/><Relationship Id="rId9" Type="http://schemas.openxmlformats.org/officeDocument/2006/relationships/hyperlink" Target="https://www.acss.org.uk/news/shre-event-research-digital-environment-opportunities-risks-best-practi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Staying the distance: students’ perceptions of enablers of transition to higher education</vt:lpstr>
    </vt:vector>
  </TitlesOfParts>
  <Company>Liverpool John Moores University</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Staying the distance: students’ perceptions of enablers of transition to higher education</dc:title>
  <dc:subject>Higher Education Research &amp; Development, 2013. doi:10.1080/07294360.2013.832157</dc:subject>
  <dc:creator>Angela Bowles</dc:creator>
  <cp:keywords>enablers; first-year experience; higher education; retention; student-centred; transition; university-led</cp:keywords>
  <cp:lastModifiedBy>Denton, Philip</cp:lastModifiedBy>
  <cp:revision>3</cp:revision>
  <dcterms:created xsi:type="dcterms:W3CDTF">2016-04-08T10:33:00Z</dcterms:created>
  <dcterms:modified xsi:type="dcterms:W3CDTF">2016-04-11T09:25:00Z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918316609</vt:i4>
  </property>
</Properties>
</file>