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8"/>
      </w:tblGrid>
      <w:tr w:rsidR="00C17DE8" w14:paraId="694F74C8" w14:textId="77777777" w:rsidTr="0064504D">
        <w:tc>
          <w:tcPr>
            <w:tcW w:w="4429" w:type="dxa"/>
          </w:tcPr>
          <w:p w14:paraId="7B313BDB" w14:textId="77777777" w:rsidR="00C17DE8" w:rsidRDefault="00C17DE8" w:rsidP="0064504D">
            <w:pPr>
              <w:pStyle w:val="Header"/>
            </w:pPr>
            <w:bookmarkStart w:id="0" w:name="_Hlk73966299"/>
            <w:bookmarkEnd w:id="0"/>
            <w:r w:rsidRPr="005418F0">
              <w:rPr>
                <w:noProof/>
                <w:lang w:eastAsia="en-GB"/>
              </w:rPr>
              <w:drawing>
                <wp:inline distT="0" distB="0" distL="0" distR="0" wp14:anchorId="4A0F2B7B" wp14:editId="4303EE0B">
                  <wp:extent cx="2673350" cy="771576"/>
                  <wp:effectExtent l="0" t="0" r="0" b="9525"/>
                  <wp:docPr id="6" name="Picture 6"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mp; signatures\Logos\New LJMU_Master_Logo_Blue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9112" cy="779011"/>
                          </a:xfrm>
                          <a:prstGeom prst="rect">
                            <a:avLst/>
                          </a:prstGeom>
                          <a:noFill/>
                          <a:ln>
                            <a:noFill/>
                          </a:ln>
                        </pic:spPr>
                      </pic:pic>
                    </a:graphicData>
                  </a:graphic>
                </wp:inline>
              </w:drawing>
            </w:r>
          </w:p>
          <w:p w14:paraId="2AD2440F" w14:textId="77777777" w:rsidR="00C17DE8" w:rsidRDefault="00C17DE8" w:rsidP="0064504D">
            <w:pPr>
              <w:pStyle w:val="Header"/>
              <w:jc w:val="center"/>
            </w:pPr>
            <w:r>
              <w:t xml:space="preserve">Faculty of </w:t>
            </w:r>
            <w:r w:rsidRPr="000C12C2">
              <w:rPr>
                <w:b/>
              </w:rPr>
              <w:t>Science</w:t>
            </w:r>
          </w:p>
        </w:tc>
        <w:tc>
          <w:tcPr>
            <w:tcW w:w="4648" w:type="dxa"/>
          </w:tcPr>
          <w:p w14:paraId="5F89C4E5" w14:textId="77777777" w:rsidR="00C17DE8" w:rsidRDefault="00C17DE8" w:rsidP="0064504D">
            <w:pPr>
              <w:pStyle w:val="Header"/>
              <w:spacing w:before="60" w:after="60"/>
            </w:pPr>
            <w:r>
              <w:t xml:space="preserve">School of Biological and Environmental </w:t>
            </w:r>
          </w:p>
          <w:p w14:paraId="4353700A" w14:textId="1A6EC73D" w:rsidR="00C17DE8" w:rsidRDefault="00C17DE8" w:rsidP="0064504D">
            <w:pPr>
              <w:pStyle w:val="Header"/>
              <w:spacing w:before="60" w:after="60"/>
            </w:pPr>
            <w:r>
              <w:t>Science Employability Coordinator Annual Report 202</w:t>
            </w:r>
            <w:r w:rsidR="008B51D2">
              <w:t>1</w:t>
            </w:r>
            <w:r>
              <w:t>/2</w:t>
            </w:r>
            <w:r w:rsidR="008B51D2">
              <w:t>2</w:t>
            </w:r>
          </w:p>
          <w:p w14:paraId="72FE0A38" w14:textId="77777777" w:rsidR="00C17DE8" w:rsidRDefault="00C17DE8" w:rsidP="0064504D">
            <w:pPr>
              <w:pStyle w:val="Header"/>
              <w:spacing w:before="60" w:after="60"/>
            </w:pPr>
            <w:r>
              <w:t xml:space="preserve">Author: </w:t>
            </w:r>
            <w:r w:rsidRPr="008417D6">
              <w:t>J Dick</w:t>
            </w:r>
          </w:p>
          <w:p w14:paraId="16DAF757" w14:textId="7EF09E24" w:rsidR="00C17DE8" w:rsidRDefault="00C17DE8" w:rsidP="0064504D">
            <w:pPr>
              <w:pStyle w:val="Header"/>
              <w:spacing w:before="60" w:after="60"/>
            </w:pPr>
            <w:r>
              <w:t xml:space="preserve">Date: </w:t>
            </w:r>
            <w:r w:rsidR="008B51D2">
              <w:t>31</w:t>
            </w:r>
            <w:r>
              <w:t>/0</w:t>
            </w:r>
            <w:r w:rsidR="008B51D2">
              <w:t>5</w:t>
            </w:r>
            <w:r>
              <w:t>/202</w:t>
            </w:r>
            <w:r w:rsidR="008B51D2">
              <w:t>2</w:t>
            </w:r>
          </w:p>
        </w:tc>
      </w:tr>
    </w:tbl>
    <w:p w14:paraId="3D72232C" w14:textId="77777777" w:rsidR="00C17DE8" w:rsidRDefault="00C17DE8">
      <w:pPr>
        <w:pStyle w:val="Heading1"/>
        <w:ind w:left="-5"/>
      </w:pPr>
      <w:r>
        <w:t xml:space="preserve">Introduction </w:t>
      </w:r>
    </w:p>
    <w:p w14:paraId="5EBC3316" w14:textId="77777777" w:rsidR="00C17DE8" w:rsidRDefault="00C17DE8">
      <w:pPr>
        <w:spacing w:after="111"/>
        <w:ind w:right="205"/>
      </w:pPr>
      <w:r>
        <w:t xml:space="preserve">Employability and graduate outcomes are becoming increasingly important metrics for student’s choice of institution and there are proposals that these outcomes be used for partitioning of funding of undergraduate programmes. </w:t>
      </w:r>
    </w:p>
    <w:p w14:paraId="7500C69B" w14:textId="77777777" w:rsidR="00C17DE8" w:rsidRDefault="00C17DE8">
      <w:pPr>
        <w:spacing w:after="230"/>
        <w:ind w:right="205"/>
      </w:pPr>
      <w:r>
        <w:t xml:space="preserve">This report will contextualise the current state of graduate outcomes in BES as well as the current state of the programmes in BES with regard to career readiness. It will also provide an overview of employability activities which have occurred this year and future plans. </w:t>
      </w:r>
    </w:p>
    <w:p w14:paraId="39D00C90" w14:textId="77777777" w:rsidR="00C17DE8" w:rsidRDefault="00C17DE8">
      <w:pPr>
        <w:pStyle w:val="Heading1"/>
        <w:ind w:left="-5"/>
      </w:pPr>
      <w:r>
        <w:t xml:space="preserve">Context </w:t>
      </w:r>
    </w:p>
    <w:p w14:paraId="7D7ECBA6" w14:textId="05B7B6BC" w:rsidR="00C17DE8" w:rsidRDefault="00C17DE8">
      <w:pPr>
        <w:spacing w:after="110"/>
        <w:ind w:right="205"/>
      </w:pPr>
      <w:r>
        <w:t xml:space="preserve">National and institutional data are available to contextualise employability and employment within the School of Biological and Environmental Sciences (BES). These consist of the Graduate Outcome Survey Data from </w:t>
      </w:r>
      <w:r w:rsidR="00C35C98">
        <w:t>HESA</w:t>
      </w:r>
      <w:r w:rsidR="00EF6B7B">
        <w:t xml:space="preserve"> through DiscoverUni.</w:t>
      </w:r>
      <w:r w:rsidR="00121D48">
        <w:t>gov.uk</w:t>
      </w:r>
      <w:r>
        <w:t xml:space="preserve"> and </w:t>
      </w:r>
      <w:r w:rsidR="00121D48">
        <w:t xml:space="preserve">the </w:t>
      </w:r>
      <w:r>
        <w:t xml:space="preserve">Career Readiness Survey Data from LJMUs Student Advancement team. </w:t>
      </w:r>
    </w:p>
    <w:p w14:paraId="04578942" w14:textId="1E24CA9E" w:rsidR="00C17DE8" w:rsidRDefault="00C17DE8">
      <w:pPr>
        <w:pStyle w:val="Heading2"/>
        <w:ind w:left="-5"/>
      </w:pPr>
      <w:r>
        <w:t>Office for Students</w:t>
      </w:r>
      <w:r w:rsidR="00EE01CD">
        <w:t>/HESA</w:t>
      </w:r>
      <w:r>
        <w:t xml:space="preserve"> Data </w:t>
      </w:r>
    </w:p>
    <w:p w14:paraId="2D395676" w14:textId="0DB4324E" w:rsidR="00C17DE8" w:rsidRDefault="00C17DE8">
      <w:pPr>
        <w:spacing w:after="126"/>
        <w:ind w:right="205"/>
      </w:pPr>
      <w:r>
        <w:t xml:space="preserve">OfS data for the programmes within Biological and Environmental Sciences included in this report come from </w:t>
      </w:r>
      <w:r w:rsidR="00B1440E">
        <w:t>NSS and</w:t>
      </w:r>
      <w:r>
        <w:t xml:space="preserve"> Graduate Outcome Survey</w:t>
      </w:r>
      <w:r w:rsidR="0028731E">
        <w:t xml:space="preserve"> (GoS)</w:t>
      </w:r>
      <w:r>
        <w:t xml:space="preserve">. </w:t>
      </w:r>
    </w:p>
    <w:p w14:paraId="2CD142B5" w14:textId="5B86821E" w:rsidR="00B1440E" w:rsidRDefault="00B1440E" w:rsidP="00C17DE8">
      <w:pPr>
        <w:numPr>
          <w:ilvl w:val="0"/>
          <w:numId w:val="5"/>
        </w:numPr>
        <w:spacing w:after="5" w:line="250" w:lineRule="auto"/>
        <w:ind w:right="272" w:hanging="360"/>
      </w:pPr>
      <w:r w:rsidRPr="00B1440E">
        <w:t>NSS survey data for the three bank questions on employability (</w:t>
      </w:r>
      <w:r>
        <w:t>Table 1</w:t>
      </w:r>
      <w:r w:rsidRPr="00B1440E">
        <w:t>) indicate:</w:t>
      </w:r>
    </w:p>
    <w:p w14:paraId="523A90DD" w14:textId="4E2E7B0A" w:rsidR="00B1440E" w:rsidRDefault="0039417D" w:rsidP="00B1440E">
      <w:pPr>
        <w:numPr>
          <w:ilvl w:val="1"/>
          <w:numId w:val="5"/>
        </w:numPr>
        <w:spacing w:after="5" w:line="250" w:lineRule="auto"/>
        <w:ind w:right="272" w:hanging="360"/>
      </w:pPr>
      <w:r>
        <w:t>BES NSS responses with regard to employability score higher than the sector and LJMU averages. Variance with regard to the sector is greatest with regard to institutional support (Q2), and smallest with regard to preparation for their future careers (Q3).</w:t>
      </w:r>
    </w:p>
    <w:p w14:paraId="3E637CC4" w14:textId="73F35A2F" w:rsidR="0039417D" w:rsidRDefault="0039417D" w:rsidP="00B1440E">
      <w:pPr>
        <w:numPr>
          <w:ilvl w:val="1"/>
          <w:numId w:val="5"/>
        </w:numPr>
        <w:spacing w:after="5" w:line="250" w:lineRule="auto"/>
        <w:ind w:right="272" w:hanging="360"/>
      </w:pPr>
      <w:r>
        <w:t xml:space="preserve">BES programmes fall slightly below the Faculty of Science </w:t>
      </w:r>
      <w:r w:rsidR="007536FA">
        <w:t xml:space="preserve">responses for all questions though only 1-2%. The greatest difference is with regard to </w:t>
      </w:r>
      <w:r w:rsidR="007536FA">
        <w:t>institutional support (Q2</w:t>
      </w:r>
      <w:r w:rsidR="007536FA">
        <w:t>).</w:t>
      </w:r>
    </w:p>
    <w:p w14:paraId="28D21151" w14:textId="16531458" w:rsidR="00B1440E" w:rsidRDefault="00B1440E" w:rsidP="00B1440E">
      <w:pPr>
        <w:spacing w:after="5" w:line="250" w:lineRule="auto"/>
        <w:ind w:right="272"/>
      </w:pPr>
    </w:p>
    <w:p w14:paraId="50552899" w14:textId="77777777" w:rsidR="007E4531" w:rsidRDefault="007E4531" w:rsidP="007E4531">
      <w:pPr>
        <w:rPr>
          <w:rFonts w:ascii="Calibri" w:hAnsi="Calibri" w:cs="Calibri"/>
        </w:rPr>
      </w:pPr>
    </w:p>
    <w:tbl>
      <w:tblPr>
        <w:tblW w:w="5000" w:type="pct"/>
        <w:tblCellMar>
          <w:left w:w="0" w:type="dxa"/>
          <w:right w:w="0" w:type="dxa"/>
        </w:tblCellMar>
        <w:tblLook w:val="04A0" w:firstRow="1" w:lastRow="0" w:firstColumn="1" w:lastColumn="0" w:noHBand="0" w:noVBand="1"/>
      </w:tblPr>
      <w:tblGrid>
        <w:gridCol w:w="1060"/>
        <w:gridCol w:w="1647"/>
        <w:gridCol w:w="1134"/>
        <w:gridCol w:w="510"/>
        <w:gridCol w:w="1134"/>
        <w:gridCol w:w="609"/>
        <w:gridCol w:w="1134"/>
        <w:gridCol w:w="644"/>
        <w:gridCol w:w="1134"/>
      </w:tblGrid>
      <w:tr w:rsidR="007E4531" w14:paraId="698B3F2C" w14:textId="77777777" w:rsidTr="007E4531">
        <w:trPr>
          <w:trHeight w:val="1460"/>
        </w:trPr>
        <w:tc>
          <w:tcPr>
            <w:tcW w:w="331" w:type="pct"/>
            <w:tcBorders>
              <w:top w:val="single" w:sz="8" w:space="0" w:color="auto"/>
              <w:left w:val="single" w:sz="8" w:space="0" w:color="auto"/>
              <w:bottom w:val="single" w:sz="8" w:space="0" w:color="auto"/>
              <w:right w:val="nil"/>
            </w:tcBorders>
            <w:shd w:val="clear" w:color="auto" w:fill="D9E1F2"/>
            <w:noWrap/>
            <w:tcMar>
              <w:top w:w="0" w:type="dxa"/>
              <w:left w:w="108" w:type="dxa"/>
              <w:bottom w:w="0" w:type="dxa"/>
              <w:right w:w="108" w:type="dxa"/>
            </w:tcMar>
            <w:vAlign w:val="bottom"/>
            <w:hideMark/>
          </w:tcPr>
          <w:p w14:paraId="6E0361DA" w14:textId="77777777" w:rsidR="007E4531" w:rsidRDefault="007E4531">
            <w:pPr>
              <w:rPr>
                <w:b/>
                <w:bCs/>
                <w:color w:val="000000"/>
                <w:lang w:eastAsia="en-GB"/>
              </w:rPr>
            </w:pPr>
            <w:r>
              <w:rPr>
                <w:b/>
                <w:bCs/>
                <w:color w:val="000000"/>
                <w:lang w:eastAsia="en-GB"/>
              </w:rPr>
              <w:t>% agree</w:t>
            </w:r>
          </w:p>
        </w:tc>
        <w:tc>
          <w:tcPr>
            <w:tcW w:w="566" w:type="pct"/>
            <w:tcBorders>
              <w:top w:val="single" w:sz="8" w:space="0" w:color="auto"/>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bottom"/>
            <w:hideMark/>
          </w:tcPr>
          <w:p w14:paraId="12CDD418" w14:textId="77777777" w:rsidR="007E4531" w:rsidRDefault="007E4531">
            <w:pPr>
              <w:jc w:val="center"/>
              <w:rPr>
                <w:b/>
                <w:bCs/>
                <w:color w:val="000000"/>
                <w:lang w:eastAsia="en-GB"/>
              </w:rPr>
            </w:pPr>
            <w:r>
              <w:rPr>
                <w:b/>
                <w:bCs/>
                <w:color w:val="000000"/>
                <w:lang w:eastAsia="en-GB"/>
              </w:rPr>
              <w:t>Employability &amp; skills (overall)</w:t>
            </w:r>
          </w:p>
        </w:tc>
        <w:tc>
          <w:tcPr>
            <w:tcW w:w="377"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bottom"/>
            <w:hideMark/>
          </w:tcPr>
          <w:p w14:paraId="7D4E65C5" w14:textId="77777777" w:rsidR="007E4531" w:rsidRDefault="007E4531">
            <w:pPr>
              <w:jc w:val="center"/>
              <w:rPr>
                <w:b/>
                <w:bCs/>
                <w:color w:val="000000"/>
                <w:lang w:eastAsia="en-GB"/>
              </w:rPr>
            </w:pPr>
            <w:r>
              <w:rPr>
                <w:b/>
                <w:bCs/>
                <w:color w:val="000000"/>
                <w:lang w:eastAsia="en-GB"/>
              </w:rPr>
              <w:t>Variance from sector</w:t>
            </w:r>
          </w:p>
        </w:tc>
        <w:tc>
          <w:tcPr>
            <w:tcW w:w="755"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bottom"/>
            <w:hideMark/>
          </w:tcPr>
          <w:p w14:paraId="43A33A97" w14:textId="6D5A0FE2" w:rsidR="007E4531" w:rsidRDefault="007E4531">
            <w:pPr>
              <w:jc w:val="center"/>
              <w:rPr>
                <w:b/>
                <w:bCs/>
                <w:i/>
                <w:iCs/>
                <w:color w:val="000000"/>
                <w:lang w:eastAsia="en-GB"/>
              </w:rPr>
            </w:pPr>
            <w:r>
              <w:rPr>
                <w:b/>
                <w:bCs/>
                <w:i/>
                <w:iCs/>
                <w:color w:val="000000"/>
                <w:lang w:eastAsia="en-GB"/>
              </w:rPr>
              <w:t>Q1</w:t>
            </w:r>
          </w:p>
        </w:tc>
        <w:tc>
          <w:tcPr>
            <w:tcW w:w="377" w:type="pct"/>
            <w:tcBorders>
              <w:top w:val="single" w:sz="8" w:space="0" w:color="auto"/>
              <w:left w:val="nil"/>
              <w:bottom w:val="single" w:sz="8" w:space="0" w:color="auto"/>
              <w:right w:val="nil"/>
            </w:tcBorders>
            <w:shd w:val="clear" w:color="auto" w:fill="D9E1F2"/>
            <w:tcMar>
              <w:top w:w="0" w:type="dxa"/>
              <w:left w:w="108" w:type="dxa"/>
              <w:bottom w:w="0" w:type="dxa"/>
              <w:right w:w="108" w:type="dxa"/>
            </w:tcMar>
            <w:vAlign w:val="bottom"/>
            <w:hideMark/>
          </w:tcPr>
          <w:p w14:paraId="680B8ECA" w14:textId="77777777" w:rsidR="007E4531" w:rsidRDefault="007E4531">
            <w:pPr>
              <w:jc w:val="center"/>
              <w:rPr>
                <w:b/>
                <w:bCs/>
                <w:color w:val="000000"/>
                <w:lang w:eastAsia="en-GB"/>
              </w:rPr>
            </w:pPr>
            <w:r>
              <w:rPr>
                <w:b/>
                <w:bCs/>
                <w:color w:val="000000"/>
                <w:lang w:eastAsia="en-GB"/>
              </w:rPr>
              <w:t>Variance from sector</w:t>
            </w:r>
          </w:p>
        </w:tc>
        <w:tc>
          <w:tcPr>
            <w:tcW w:w="943" w:type="pct"/>
            <w:tcBorders>
              <w:top w:val="single" w:sz="8" w:space="0" w:color="auto"/>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bottom"/>
            <w:hideMark/>
          </w:tcPr>
          <w:p w14:paraId="1E71D6B8" w14:textId="3CE0D6B3" w:rsidR="007E4531" w:rsidRDefault="007E4531">
            <w:pPr>
              <w:jc w:val="center"/>
              <w:rPr>
                <w:b/>
                <w:bCs/>
                <w:i/>
                <w:iCs/>
                <w:color w:val="000000"/>
                <w:lang w:eastAsia="en-GB"/>
              </w:rPr>
            </w:pPr>
            <w:r>
              <w:rPr>
                <w:b/>
                <w:bCs/>
                <w:i/>
                <w:iCs/>
                <w:color w:val="000000"/>
                <w:lang w:eastAsia="en-GB"/>
              </w:rPr>
              <w:t>Q2</w:t>
            </w:r>
          </w:p>
        </w:tc>
        <w:tc>
          <w:tcPr>
            <w:tcW w:w="377"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bottom"/>
            <w:hideMark/>
          </w:tcPr>
          <w:p w14:paraId="10470393" w14:textId="77777777" w:rsidR="007E4531" w:rsidRDefault="007E4531">
            <w:pPr>
              <w:jc w:val="center"/>
              <w:rPr>
                <w:b/>
                <w:bCs/>
                <w:color w:val="000000"/>
                <w:lang w:eastAsia="en-GB"/>
              </w:rPr>
            </w:pPr>
            <w:r>
              <w:rPr>
                <w:b/>
                <w:bCs/>
                <w:color w:val="000000"/>
                <w:lang w:eastAsia="en-GB"/>
              </w:rPr>
              <w:t>Variance from sector</w:t>
            </w:r>
          </w:p>
        </w:tc>
        <w:tc>
          <w:tcPr>
            <w:tcW w:w="896"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bottom"/>
            <w:hideMark/>
          </w:tcPr>
          <w:p w14:paraId="0F60D0C2" w14:textId="34EB02BE" w:rsidR="007E4531" w:rsidRDefault="007E4531">
            <w:pPr>
              <w:jc w:val="center"/>
              <w:rPr>
                <w:b/>
                <w:bCs/>
                <w:i/>
                <w:iCs/>
                <w:color w:val="000000"/>
                <w:lang w:eastAsia="en-GB"/>
              </w:rPr>
            </w:pPr>
            <w:r>
              <w:rPr>
                <w:b/>
                <w:bCs/>
                <w:i/>
                <w:iCs/>
                <w:color w:val="000000"/>
                <w:lang w:eastAsia="en-GB"/>
              </w:rPr>
              <w:t>Q3</w:t>
            </w:r>
          </w:p>
        </w:tc>
        <w:tc>
          <w:tcPr>
            <w:tcW w:w="377"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bottom"/>
            <w:hideMark/>
          </w:tcPr>
          <w:p w14:paraId="1035585A" w14:textId="77777777" w:rsidR="007E4531" w:rsidRDefault="007E4531">
            <w:pPr>
              <w:jc w:val="center"/>
              <w:rPr>
                <w:b/>
                <w:bCs/>
                <w:color w:val="000000"/>
                <w:lang w:eastAsia="en-GB"/>
              </w:rPr>
            </w:pPr>
            <w:r>
              <w:rPr>
                <w:b/>
                <w:bCs/>
                <w:color w:val="000000"/>
                <w:lang w:eastAsia="en-GB"/>
              </w:rPr>
              <w:t>Variance from sector</w:t>
            </w:r>
          </w:p>
        </w:tc>
      </w:tr>
      <w:tr w:rsidR="007E4531" w14:paraId="152D1D24" w14:textId="77777777" w:rsidTr="007E4531">
        <w:trPr>
          <w:trHeight w:val="290"/>
        </w:trPr>
        <w:tc>
          <w:tcPr>
            <w:tcW w:w="331" w:type="pct"/>
            <w:tcBorders>
              <w:top w:val="nil"/>
              <w:left w:val="single" w:sz="8" w:space="0" w:color="auto"/>
              <w:bottom w:val="single" w:sz="8" w:space="0" w:color="auto"/>
              <w:right w:val="nil"/>
            </w:tcBorders>
            <w:tcMar>
              <w:top w:w="0" w:type="dxa"/>
              <w:left w:w="108" w:type="dxa"/>
              <w:bottom w:w="0" w:type="dxa"/>
              <w:right w:w="108" w:type="dxa"/>
            </w:tcMar>
            <w:vAlign w:val="bottom"/>
            <w:hideMark/>
          </w:tcPr>
          <w:p w14:paraId="1E0369F5" w14:textId="77777777" w:rsidR="007E4531" w:rsidRDefault="007E4531">
            <w:pPr>
              <w:rPr>
                <w:color w:val="000000"/>
                <w:lang w:eastAsia="en-GB"/>
              </w:rPr>
            </w:pPr>
            <w:r>
              <w:rPr>
                <w:color w:val="000000"/>
                <w:lang w:eastAsia="en-GB"/>
              </w:rPr>
              <w:t>Sector</w:t>
            </w:r>
          </w:p>
        </w:tc>
        <w:tc>
          <w:tcPr>
            <w:tcW w:w="56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048FDC" w14:textId="77777777" w:rsidR="007E4531" w:rsidRDefault="007E4531">
            <w:pPr>
              <w:jc w:val="center"/>
              <w:rPr>
                <w:b/>
                <w:bCs/>
                <w:color w:val="000000"/>
                <w:lang w:eastAsia="en-GB"/>
              </w:rPr>
            </w:pPr>
            <w:r>
              <w:t>72</w:t>
            </w:r>
          </w:p>
        </w:tc>
        <w:tc>
          <w:tcPr>
            <w:tcW w:w="377"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14:paraId="3E0F92B6" w14:textId="77777777" w:rsidR="007E4531" w:rsidRDefault="007E4531">
            <w:pPr>
              <w:jc w:val="center"/>
              <w:rPr>
                <w:b/>
                <w:bCs/>
                <w:color w:val="000000"/>
                <w:lang w:eastAsia="en-GB"/>
              </w:rPr>
            </w:pPr>
            <w:r>
              <w:rPr>
                <w:b/>
                <w:bCs/>
                <w:color w:val="000000"/>
                <w:lang w:eastAsia="en-GB"/>
              </w:rPr>
              <w:t>-</w:t>
            </w:r>
          </w:p>
        </w:tc>
        <w:tc>
          <w:tcPr>
            <w:tcW w:w="755" w:type="pct"/>
            <w:tcBorders>
              <w:top w:val="nil"/>
              <w:left w:val="nil"/>
              <w:bottom w:val="single" w:sz="8" w:space="0" w:color="auto"/>
              <w:right w:val="single" w:sz="8" w:space="0" w:color="auto"/>
            </w:tcBorders>
            <w:noWrap/>
            <w:tcMar>
              <w:top w:w="0" w:type="dxa"/>
              <w:left w:w="108" w:type="dxa"/>
              <w:bottom w:w="0" w:type="dxa"/>
              <w:right w:w="108" w:type="dxa"/>
            </w:tcMar>
            <w:hideMark/>
          </w:tcPr>
          <w:p w14:paraId="767C14E6" w14:textId="77777777" w:rsidR="007E4531" w:rsidRDefault="007E4531">
            <w:pPr>
              <w:jc w:val="center"/>
              <w:rPr>
                <w:b/>
                <w:bCs/>
                <w:color w:val="000000"/>
                <w:lang w:eastAsia="en-GB"/>
              </w:rPr>
            </w:pPr>
            <w:r>
              <w:t>70</w:t>
            </w:r>
          </w:p>
        </w:tc>
        <w:tc>
          <w:tcPr>
            <w:tcW w:w="377" w:type="pct"/>
            <w:tcBorders>
              <w:top w:val="nil"/>
              <w:left w:val="nil"/>
              <w:bottom w:val="single" w:sz="8" w:space="0" w:color="auto"/>
              <w:right w:val="nil"/>
            </w:tcBorders>
            <w:shd w:val="clear" w:color="auto" w:fill="EDEDED"/>
            <w:noWrap/>
            <w:tcMar>
              <w:top w:w="0" w:type="dxa"/>
              <w:left w:w="108" w:type="dxa"/>
              <w:bottom w:w="0" w:type="dxa"/>
              <w:right w:w="108" w:type="dxa"/>
            </w:tcMar>
            <w:hideMark/>
          </w:tcPr>
          <w:p w14:paraId="113AB205" w14:textId="77777777" w:rsidR="007E4531" w:rsidRDefault="007E4531">
            <w:pPr>
              <w:jc w:val="center"/>
              <w:rPr>
                <w:b/>
                <w:bCs/>
                <w:color w:val="000000"/>
                <w:lang w:eastAsia="en-GB"/>
              </w:rPr>
            </w:pPr>
            <w:r>
              <w:rPr>
                <w:b/>
                <w:bCs/>
                <w:color w:val="000000"/>
                <w:lang w:eastAsia="en-GB"/>
              </w:rPr>
              <w:t>-</w:t>
            </w:r>
          </w:p>
        </w:tc>
        <w:tc>
          <w:tcPr>
            <w:tcW w:w="943"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3CC240A" w14:textId="77777777" w:rsidR="007E4531" w:rsidRDefault="007E4531">
            <w:pPr>
              <w:jc w:val="center"/>
              <w:rPr>
                <w:b/>
                <w:bCs/>
                <w:color w:val="000000"/>
                <w:lang w:eastAsia="en-GB"/>
              </w:rPr>
            </w:pPr>
            <w:r>
              <w:t>64</w:t>
            </w:r>
          </w:p>
        </w:tc>
        <w:tc>
          <w:tcPr>
            <w:tcW w:w="377"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14:paraId="198F4C48" w14:textId="77777777" w:rsidR="007E4531" w:rsidRDefault="007E4531">
            <w:pPr>
              <w:jc w:val="center"/>
              <w:rPr>
                <w:b/>
                <w:bCs/>
                <w:color w:val="000000"/>
                <w:lang w:eastAsia="en-GB"/>
              </w:rPr>
            </w:pPr>
            <w:r>
              <w:rPr>
                <w:b/>
                <w:bCs/>
                <w:color w:val="000000"/>
                <w:lang w:eastAsia="en-GB"/>
              </w:rPr>
              <w:t>-</w:t>
            </w:r>
          </w:p>
        </w:tc>
        <w:tc>
          <w:tcPr>
            <w:tcW w:w="896" w:type="pct"/>
            <w:tcBorders>
              <w:top w:val="nil"/>
              <w:left w:val="nil"/>
              <w:bottom w:val="single" w:sz="8" w:space="0" w:color="auto"/>
              <w:right w:val="single" w:sz="8" w:space="0" w:color="auto"/>
            </w:tcBorders>
            <w:noWrap/>
            <w:tcMar>
              <w:top w:w="0" w:type="dxa"/>
              <w:left w:w="108" w:type="dxa"/>
              <w:bottom w:w="0" w:type="dxa"/>
              <w:right w:w="108" w:type="dxa"/>
            </w:tcMar>
            <w:hideMark/>
          </w:tcPr>
          <w:p w14:paraId="296E25EC" w14:textId="77777777" w:rsidR="007E4531" w:rsidRDefault="007E4531">
            <w:pPr>
              <w:jc w:val="center"/>
              <w:rPr>
                <w:b/>
                <w:bCs/>
                <w:color w:val="000000"/>
                <w:lang w:eastAsia="en-GB"/>
              </w:rPr>
            </w:pPr>
            <w:r>
              <w:t>82</w:t>
            </w:r>
          </w:p>
        </w:tc>
        <w:tc>
          <w:tcPr>
            <w:tcW w:w="377"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14:paraId="01B19851" w14:textId="77777777" w:rsidR="007E4531" w:rsidRDefault="007E4531">
            <w:pPr>
              <w:jc w:val="center"/>
              <w:rPr>
                <w:b/>
                <w:bCs/>
                <w:color w:val="000000"/>
                <w:lang w:eastAsia="en-GB"/>
              </w:rPr>
            </w:pPr>
            <w:r>
              <w:rPr>
                <w:b/>
                <w:bCs/>
                <w:color w:val="000000"/>
                <w:lang w:eastAsia="en-GB"/>
              </w:rPr>
              <w:t>-</w:t>
            </w:r>
          </w:p>
        </w:tc>
      </w:tr>
      <w:tr w:rsidR="007E4531" w14:paraId="1F55136C" w14:textId="77777777" w:rsidTr="007E4531">
        <w:trPr>
          <w:trHeight w:val="290"/>
        </w:trPr>
        <w:tc>
          <w:tcPr>
            <w:tcW w:w="331" w:type="pct"/>
            <w:tcBorders>
              <w:top w:val="nil"/>
              <w:left w:val="single" w:sz="8" w:space="0" w:color="auto"/>
              <w:bottom w:val="single" w:sz="8" w:space="0" w:color="auto"/>
              <w:right w:val="nil"/>
            </w:tcBorders>
            <w:tcMar>
              <w:top w:w="0" w:type="dxa"/>
              <w:left w:w="108" w:type="dxa"/>
              <w:bottom w:w="0" w:type="dxa"/>
              <w:right w:w="108" w:type="dxa"/>
            </w:tcMar>
            <w:vAlign w:val="bottom"/>
            <w:hideMark/>
          </w:tcPr>
          <w:p w14:paraId="7EC3AD04" w14:textId="77777777" w:rsidR="007E4531" w:rsidRDefault="007E4531">
            <w:pPr>
              <w:rPr>
                <w:color w:val="000000"/>
                <w:lang w:eastAsia="en-GB"/>
              </w:rPr>
            </w:pPr>
            <w:r>
              <w:rPr>
                <w:color w:val="000000"/>
                <w:lang w:eastAsia="en-GB"/>
              </w:rPr>
              <w:t>LJMU</w:t>
            </w:r>
          </w:p>
        </w:tc>
        <w:tc>
          <w:tcPr>
            <w:tcW w:w="56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D1797A" w14:textId="77777777" w:rsidR="007E4531" w:rsidRDefault="007E4531">
            <w:pPr>
              <w:jc w:val="center"/>
              <w:rPr>
                <w:b/>
                <w:bCs/>
                <w:color w:val="000000"/>
                <w:lang w:eastAsia="en-GB"/>
              </w:rPr>
            </w:pPr>
            <w:r>
              <w:t>75</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62DFD17" w14:textId="77777777" w:rsidR="007E4531" w:rsidRDefault="007E4531">
            <w:pPr>
              <w:jc w:val="center"/>
              <w:rPr>
                <w:b/>
                <w:bCs/>
                <w:color w:val="000000"/>
                <w:lang w:eastAsia="en-GB"/>
              </w:rPr>
            </w:pPr>
            <w:r>
              <w:rPr>
                <w:color w:val="000000"/>
              </w:rPr>
              <w:t>3</w:t>
            </w:r>
          </w:p>
        </w:tc>
        <w:tc>
          <w:tcPr>
            <w:tcW w:w="75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D52FE93" w14:textId="77777777" w:rsidR="007E4531" w:rsidRDefault="007E4531">
            <w:pPr>
              <w:jc w:val="center"/>
              <w:rPr>
                <w:b/>
                <w:bCs/>
                <w:color w:val="000000"/>
                <w:lang w:eastAsia="en-GB"/>
              </w:rPr>
            </w:pPr>
            <w:r>
              <w:rPr>
                <w:color w:val="000000"/>
              </w:rPr>
              <w:t>71</w:t>
            </w:r>
          </w:p>
        </w:tc>
        <w:tc>
          <w:tcPr>
            <w:tcW w:w="377" w:type="pct"/>
            <w:tcBorders>
              <w:top w:val="nil"/>
              <w:left w:val="nil"/>
              <w:bottom w:val="single" w:sz="8" w:space="0" w:color="auto"/>
              <w:right w:val="nil"/>
            </w:tcBorders>
            <w:shd w:val="clear" w:color="auto" w:fill="FFFFFF"/>
            <w:noWrap/>
            <w:tcMar>
              <w:top w:w="0" w:type="dxa"/>
              <w:left w:w="108" w:type="dxa"/>
              <w:bottom w:w="0" w:type="dxa"/>
              <w:right w:w="108" w:type="dxa"/>
            </w:tcMar>
            <w:hideMark/>
          </w:tcPr>
          <w:p w14:paraId="63FD0F1D" w14:textId="77777777" w:rsidR="007E4531" w:rsidRDefault="007E4531">
            <w:pPr>
              <w:jc w:val="center"/>
              <w:rPr>
                <w:b/>
                <w:bCs/>
                <w:color w:val="000000"/>
                <w:lang w:eastAsia="en-GB"/>
              </w:rPr>
            </w:pPr>
            <w:r>
              <w:rPr>
                <w:color w:val="000000"/>
              </w:rPr>
              <w:t>1</w:t>
            </w:r>
          </w:p>
        </w:tc>
        <w:tc>
          <w:tcPr>
            <w:tcW w:w="94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E39B0D6" w14:textId="77777777" w:rsidR="007E4531" w:rsidRDefault="007E4531">
            <w:pPr>
              <w:jc w:val="center"/>
              <w:rPr>
                <w:b/>
                <w:bCs/>
                <w:color w:val="000000"/>
                <w:lang w:eastAsia="en-GB"/>
              </w:rPr>
            </w:pPr>
            <w:r>
              <w:rPr>
                <w:color w:val="000000"/>
              </w:rPr>
              <w:t>70</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641F1C4" w14:textId="77777777" w:rsidR="007E4531" w:rsidRDefault="007E4531">
            <w:pPr>
              <w:jc w:val="center"/>
              <w:rPr>
                <w:b/>
                <w:bCs/>
                <w:color w:val="000000"/>
                <w:lang w:eastAsia="en-GB"/>
              </w:rPr>
            </w:pPr>
            <w:r>
              <w:rPr>
                <w:color w:val="000000"/>
              </w:rPr>
              <w:t>6</w:t>
            </w:r>
          </w:p>
        </w:tc>
        <w:tc>
          <w:tcPr>
            <w:tcW w:w="8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E48E99" w14:textId="77777777" w:rsidR="007E4531" w:rsidRDefault="007E4531">
            <w:pPr>
              <w:jc w:val="center"/>
              <w:rPr>
                <w:b/>
                <w:bCs/>
                <w:color w:val="000000"/>
                <w:lang w:eastAsia="en-GB"/>
              </w:rPr>
            </w:pPr>
            <w:r>
              <w:rPr>
                <w:color w:val="000000"/>
              </w:rPr>
              <w:t>84</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3F455F" w14:textId="77777777" w:rsidR="007E4531" w:rsidRDefault="007E4531">
            <w:pPr>
              <w:jc w:val="center"/>
              <w:rPr>
                <w:b/>
                <w:bCs/>
                <w:color w:val="000000"/>
                <w:lang w:eastAsia="en-GB"/>
              </w:rPr>
            </w:pPr>
            <w:r>
              <w:rPr>
                <w:color w:val="000000"/>
              </w:rPr>
              <w:t>2</w:t>
            </w:r>
          </w:p>
        </w:tc>
      </w:tr>
      <w:tr w:rsidR="007E4531" w14:paraId="0300611F" w14:textId="77777777" w:rsidTr="007E4531">
        <w:trPr>
          <w:trHeight w:val="300"/>
        </w:trPr>
        <w:tc>
          <w:tcPr>
            <w:tcW w:w="331" w:type="pct"/>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DD6DBC5" w14:textId="77777777" w:rsidR="007E4531" w:rsidRDefault="007E4531">
            <w:pPr>
              <w:rPr>
                <w:color w:val="000000"/>
                <w:lang w:eastAsia="en-GB"/>
              </w:rPr>
            </w:pPr>
            <w:r>
              <w:rPr>
                <w:color w:val="000000"/>
                <w:lang w:eastAsia="en-GB"/>
              </w:rPr>
              <w:t>SCS</w:t>
            </w:r>
          </w:p>
        </w:tc>
        <w:tc>
          <w:tcPr>
            <w:tcW w:w="56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B9DD9F" w14:textId="77777777" w:rsidR="007E4531" w:rsidRDefault="007E4531">
            <w:pPr>
              <w:jc w:val="center"/>
              <w:rPr>
                <w:color w:val="000000"/>
                <w:lang w:eastAsia="en-GB"/>
              </w:rPr>
            </w:pPr>
            <w:r>
              <w:t>78</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377FA6C" w14:textId="77777777" w:rsidR="007E4531" w:rsidRDefault="007E4531">
            <w:pPr>
              <w:jc w:val="center"/>
              <w:rPr>
                <w:color w:val="000000"/>
                <w:lang w:eastAsia="en-GB"/>
              </w:rPr>
            </w:pPr>
            <w:r>
              <w:rPr>
                <w:color w:val="000000"/>
              </w:rPr>
              <w:t>6</w:t>
            </w:r>
          </w:p>
        </w:tc>
        <w:tc>
          <w:tcPr>
            <w:tcW w:w="75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CEDD06" w14:textId="77777777" w:rsidR="007E4531" w:rsidRDefault="007E4531">
            <w:pPr>
              <w:jc w:val="center"/>
              <w:rPr>
                <w:color w:val="000000"/>
                <w:lang w:eastAsia="en-GB"/>
              </w:rPr>
            </w:pPr>
            <w:r>
              <w:rPr>
                <w:color w:val="000000"/>
              </w:rPr>
              <w:t>72</w:t>
            </w:r>
          </w:p>
        </w:tc>
        <w:tc>
          <w:tcPr>
            <w:tcW w:w="377" w:type="pct"/>
            <w:tcBorders>
              <w:top w:val="nil"/>
              <w:left w:val="nil"/>
              <w:bottom w:val="single" w:sz="8" w:space="0" w:color="auto"/>
              <w:right w:val="nil"/>
            </w:tcBorders>
            <w:shd w:val="clear" w:color="auto" w:fill="FFFFFF"/>
            <w:noWrap/>
            <w:tcMar>
              <w:top w:w="0" w:type="dxa"/>
              <w:left w:w="108" w:type="dxa"/>
              <w:bottom w:w="0" w:type="dxa"/>
              <w:right w:w="108" w:type="dxa"/>
            </w:tcMar>
            <w:hideMark/>
          </w:tcPr>
          <w:p w14:paraId="4701F636" w14:textId="77777777" w:rsidR="007E4531" w:rsidRDefault="007E4531">
            <w:pPr>
              <w:jc w:val="center"/>
              <w:rPr>
                <w:color w:val="000000"/>
                <w:lang w:eastAsia="en-GB"/>
              </w:rPr>
            </w:pPr>
            <w:r>
              <w:rPr>
                <w:color w:val="000000"/>
              </w:rPr>
              <w:t>2</w:t>
            </w:r>
          </w:p>
        </w:tc>
        <w:tc>
          <w:tcPr>
            <w:tcW w:w="94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14F56F3" w14:textId="77777777" w:rsidR="007E4531" w:rsidRDefault="007E4531">
            <w:pPr>
              <w:jc w:val="center"/>
              <w:rPr>
                <w:color w:val="000000"/>
                <w:lang w:eastAsia="en-GB"/>
              </w:rPr>
            </w:pPr>
            <w:r>
              <w:rPr>
                <w:color w:val="000000"/>
              </w:rPr>
              <w:t>75</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BC7803E" w14:textId="77777777" w:rsidR="007E4531" w:rsidRDefault="007E4531">
            <w:pPr>
              <w:jc w:val="center"/>
              <w:rPr>
                <w:color w:val="000000"/>
                <w:lang w:eastAsia="en-GB"/>
              </w:rPr>
            </w:pPr>
            <w:r>
              <w:rPr>
                <w:color w:val="000000"/>
              </w:rPr>
              <w:t>11</w:t>
            </w:r>
          </w:p>
        </w:tc>
        <w:tc>
          <w:tcPr>
            <w:tcW w:w="8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F8FADCE" w14:textId="77777777" w:rsidR="007E4531" w:rsidRDefault="007E4531">
            <w:pPr>
              <w:jc w:val="center"/>
              <w:rPr>
                <w:color w:val="000000"/>
                <w:lang w:eastAsia="en-GB"/>
              </w:rPr>
            </w:pPr>
            <w:r>
              <w:rPr>
                <w:color w:val="000000"/>
              </w:rPr>
              <w:t>87</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60B852A" w14:textId="77777777" w:rsidR="007E4531" w:rsidRDefault="007E4531">
            <w:pPr>
              <w:jc w:val="center"/>
              <w:rPr>
                <w:color w:val="000000"/>
                <w:lang w:eastAsia="en-GB"/>
              </w:rPr>
            </w:pPr>
            <w:r>
              <w:rPr>
                <w:color w:val="000000"/>
              </w:rPr>
              <w:t>5</w:t>
            </w:r>
          </w:p>
        </w:tc>
      </w:tr>
      <w:tr w:rsidR="007E4531" w14:paraId="17AEE5CF" w14:textId="77777777" w:rsidTr="007E4531">
        <w:trPr>
          <w:trHeight w:val="300"/>
        </w:trPr>
        <w:tc>
          <w:tcPr>
            <w:tcW w:w="331" w:type="pct"/>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409A92F7" w14:textId="77777777" w:rsidR="007E4531" w:rsidRDefault="007E4531">
            <w:pPr>
              <w:rPr>
                <w:color w:val="000000"/>
                <w:lang w:eastAsia="en-GB"/>
              </w:rPr>
            </w:pPr>
            <w:r>
              <w:rPr>
                <w:color w:val="000000"/>
                <w:lang w:eastAsia="en-GB"/>
              </w:rPr>
              <w:t>BES</w:t>
            </w:r>
          </w:p>
        </w:tc>
        <w:tc>
          <w:tcPr>
            <w:tcW w:w="566"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04EA20" w14:textId="77777777" w:rsidR="007E4531" w:rsidRDefault="007E4531">
            <w:pPr>
              <w:jc w:val="center"/>
              <w:rPr>
                <w:color w:val="000000"/>
                <w:lang w:eastAsia="en-GB"/>
              </w:rPr>
            </w:pPr>
            <w:r>
              <w:t>77</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967052" w14:textId="77777777" w:rsidR="007E4531" w:rsidRDefault="007E4531">
            <w:pPr>
              <w:jc w:val="center"/>
              <w:rPr>
                <w:color w:val="000000"/>
                <w:lang w:eastAsia="en-GB"/>
              </w:rPr>
            </w:pPr>
            <w:r>
              <w:rPr>
                <w:color w:val="000000"/>
              </w:rPr>
              <w:t>5</w:t>
            </w:r>
          </w:p>
        </w:tc>
        <w:tc>
          <w:tcPr>
            <w:tcW w:w="75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E5FB116" w14:textId="77777777" w:rsidR="007E4531" w:rsidRDefault="007E4531">
            <w:pPr>
              <w:jc w:val="center"/>
              <w:rPr>
                <w:color w:val="000000"/>
                <w:lang w:eastAsia="en-GB"/>
              </w:rPr>
            </w:pPr>
            <w:r>
              <w:rPr>
                <w:color w:val="000000"/>
              </w:rPr>
              <w:t>72</w:t>
            </w:r>
          </w:p>
        </w:tc>
        <w:tc>
          <w:tcPr>
            <w:tcW w:w="377" w:type="pct"/>
            <w:tcBorders>
              <w:top w:val="nil"/>
              <w:left w:val="nil"/>
              <w:bottom w:val="single" w:sz="8" w:space="0" w:color="auto"/>
              <w:right w:val="nil"/>
            </w:tcBorders>
            <w:shd w:val="clear" w:color="auto" w:fill="FFFFFF"/>
            <w:noWrap/>
            <w:tcMar>
              <w:top w:w="0" w:type="dxa"/>
              <w:left w:w="108" w:type="dxa"/>
              <w:bottom w:w="0" w:type="dxa"/>
              <w:right w:w="108" w:type="dxa"/>
            </w:tcMar>
            <w:hideMark/>
          </w:tcPr>
          <w:p w14:paraId="281974C8" w14:textId="77777777" w:rsidR="007E4531" w:rsidRDefault="007E4531">
            <w:pPr>
              <w:jc w:val="center"/>
              <w:rPr>
                <w:color w:val="000000"/>
                <w:lang w:eastAsia="en-GB"/>
              </w:rPr>
            </w:pPr>
            <w:r>
              <w:rPr>
                <w:color w:val="000000"/>
              </w:rPr>
              <w:t>2</w:t>
            </w:r>
          </w:p>
        </w:tc>
        <w:tc>
          <w:tcPr>
            <w:tcW w:w="943"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3A1E3AF" w14:textId="77777777" w:rsidR="007E4531" w:rsidRDefault="007E4531">
            <w:pPr>
              <w:jc w:val="center"/>
              <w:rPr>
                <w:color w:val="000000"/>
                <w:lang w:eastAsia="en-GB"/>
              </w:rPr>
            </w:pPr>
            <w:r>
              <w:rPr>
                <w:color w:val="000000"/>
              </w:rPr>
              <w:t>73</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A8B845" w14:textId="77777777" w:rsidR="007E4531" w:rsidRDefault="007E4531">
            <w:pPr>
              <w:jc w:val="center"/>
              <w:rPr>
                <w:color w:val="000000"/>
                <w:lang w:eastAsia="en-GB"/>
              </w:rPr>
            </w:pPr>
            <w:r>
              <w:rPr>
                <w:color w:val="000000"/>
              </w:rPr>
              <w:t>9</w:t>
            </w:r>
          </w:p>
        </w:tc>
        <w:tc>
          <w:tcPr>
            <w:tcW w:w="89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7B2071B" w14:textId="77777777" w:rsidR="007E4531" w:rsidRDefault="007E4531">
            <w:pPr>
              <w:jc w:val="center"/>
              <w:rPr>
                <w:color w:val="000000"/>
                <w:lang w:eastAsia="en-GB"/>
              </w:rPr>
            </w:pPr>
            <w:r>
              <w:rPr>
                <w:color w:val="000000"/>
              </w:rPr>
              <w:t>86</w:t>
            </w:r>
          </w:p>
        </w:tc>
        <w:tc>
          <w:tcPr>
            <w:tcW w:w="37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3C78110" w14:textId="77777777" w:rsidR="007E4531" w:rsidRDefault="007E4531">
            <w:pPr>
              <w:jc w:val="center"/>
              <w:rPr>
                <w:color w:val="000000"/>
                <w:lang w:eastAsia="en-GB"/>
              </w:rPr>
            </w:pPr>
            <w:r>
              <w:rPr>
                <w:color w:val="000000"/>
              </w:rPr>
              <w:t>4</w:t>
            </w:r>
          </w:p>
        </w:tc>
      </w:tr>
    </w:tbl>
    <w:p w14:paraId="0C403B3B" w14:textId="172CEFF2" w:rsidR="00B1440E" w:rsidRDefault="00B1440E" w:rsidP="00B1440E">
      <w:pPr>
        <w:spacing w:after="5" w:line="250" w:lineRule="auto"/>
        <w:ind w:right="272"/>
      </w:pPr>
    </w:p>
    <w:p w14:paraId="31FDE285" w14:textId="4E263973" w:rsidR="00B1440E" w:rsidRPr="0039417D" w:rsidRDefault="007E4531" w:rsidP="00B1440E">
      <w:pPr>
        <w:spacing w:after="5" w:line="250" w:lineRule="auto"/>
        <w:ind w:right="272"/>
        <w:rPr>
          <w:i/>
          <w:iCs/>
          <w:noProof/>
          <w:sz w:val="20"/>
          <w:szCs w:val="20"/>
        </w:rPr>
      </w:pPr>
      <w:r w:rsidRPr="0039417D">
        <w:rPr>
          <w:i/>
          <w:iCs/>
          <w:noProof/>
          <w:sz w:val="20"/>
          <w:szCs w:val="20"/>
        </w:rPr>
        <w:t xml:space="preserve">Table 1: </w:t>
      </w:r>
      <w:r w:rsidRPr="0039417D">
        <w:rPr>
          <w:i/>
          <w:iCs/>
          <w:noProof/>
          <w:sz w:val="20"/>
          <w:szCs w:val="20"/>
        </w:rPr>
        <w:t>NSS responses to the three bank questions on employability</w:t>
      </w:r>
      <w:r w:rsidRPr="0039417D">
        <w:rPr>
          <w:i/>
          <w:iCs/>
          <w:noProof/>
          <w:sz w:val="20"/>
          <w:szCs w:val="20"/>
        </w:rPr>
        <w:t xml:space="preserve"> and overall repsonse</w:t>
      </w:r>
      <w:r w:rsidRPr="0039417D">
        <w:rPr>
          <w:i/>
          <w:iCs/>
          <w:noProof/>
          <w:sz w:val="20"/>
          <w:szCs w:val="20"/>
        </w:rPr>
        <w:t>, indicating the percentage of each programmes cohort that agreed with each statement. The bank question statements are</w:t>
      </w:r>
      <w:r w:rsidRPr="0039417D">
        <w:rPr>
          <w:i/>
          <w:iCs/>
          <w:noProof/>
          <w:sz w:val="20"/>
          <w:szCs w:val="20"/>
        </w:rPr>
        <w:t xml:space="preserve">: Q1) </w:t>
      </w:r>
      <w:r w:rsidRPr="0039417D">
        <w:rPr>
          <w:i/>
          <w:iCs/>
          <w:noProof/>
          <w:sz w:val="20"/>
          <w:szCs w:val="20"/>
        </w:rPr>
        <w:t xml:space="preserve">My Higher Education experience has helped me plan for my future </w:t>
      </w:r>
      <w:r w:rsidRPr="0039417D">
        <w:rPr>
          <w:i/>
          <w:iCs/>
          <w:noProof/>
          <w:sz w:val="20"/>
          <w:szCs w:val="20"/>
        </w:rPr>
        <w:lastRenderedPageBreak/>
        <w:t>career</w:t>
      </w:r>
      <w:r w:rsidRPr="0039417D">
        <w:rPr>
          <w:i/>
          <w:iCs/>
          <w:noProof/>
          <w:sz w:val="20"/>
          <w:szCs w:val="20"/>
        </w:rPr>
        <w:t xml:space="preserve">; Q2) </w:t>
      </w:r>
      <w:r w:rsidRPr="0039417D">
        <w:rPr>
          <w:i/>
          <w:iCs/>
          <w:noProof/>
          <w:sz w:val="20"/>
          <w:szCs w:val="20"/>
        </w:rPr>
        <w:t>My institution offered activities and resources designed to prepare me for the next step in my career</w:t>
      </w:r>
      <w:r w:rsidRPr="0039417D">
        <w:rPr>
          <w:i/>
          <w:iCs/>
          <w:noProof/>
          <w:sz w:val="20"/>
          <w:szCs w:val="20"/>
        </w:rPr>
        <w:t xml:space="preserve">; Q3) </w:t>
      </w:r>
      <w:r w:rsidRPr="0039417D">
        <w:rPr>
          <w:i/>
          <w:iCs/>
          <w:noProof/>
          <w:sz w:val="20"/>
          <w:szCs w:val="20"/>
        </w:rPr>
        <w:t>The skills I have developed during my time in Higher Education will be useful for my future career</w:t>
      </w:r>
      <w:r w:rsidRPr="0039417D">
        <w:rPr>
          <w:i/>
          <w:iCs/>
          <w:noProof/>
          <w:sz w:val="20"/>
          <w:szCs w:val="20"/>
        </w:rPr>
        <w:t>.</w:t>
      </w:r>
    </w:p>
    <w:p w14:paraId="54F1433D" w14:textId="0B3A762E" w:rsidR="007E4531" w:rsidRDefault="007E4531" w:rsidP="00B1440E">
      <w:pPr>
        <w:spacing w:after="5" w:line="250" w:lineRule="auto"/>
        <w:ind w:right="272"/>
      </w:pPr>
    </w:p>
    <w:p w14:paraId="5CD47C54" w14:textId="77777777" w:rsidR="0039417D" w:rsidRDefault="0039417D" w:rsidP="00B1440E">
      <w:pPr>
        <w:spacing w:after="5" w:line="250" w:lineRule="auto"/>
        <w:ind w:right="272"/>
      </w:pPr>
    </w:p>
    <w:p w14:paraId="6CC081EC" w14:textId="54FA9920" w:rsidR="00C17DE8" w:rsidRDefault="00C17DE8" w:rsidP="00C17DE8">
      <w:pPr>
        <w:numPr>
          <w:ilvl w:val="0"/>
          <w:numId w:val="5"/>
        </w:numPr>
        <w:spacing w:after="5" w:line="250" w:lineRule="auto"/>
        <w:ind w:right="272" w:hanging="360"/>
      </w:pPr>
      <w:r w:rsidRPr="00E63567">
        <w:t xml:space="preserve">The results of the first Graduate Outcome Survey for students graduating </w:t>
      </w:r>
      <w:r w:rsidR="0028731E">
        <w:t xml:space="preserve">during the </w:t>
      </w:r>
      <w:r w:rsidRPr="00E63567">
        <w:t>2018</w:t>
      </w:r>
      <w:r w:rsidR="0028731E">
        <w:t>/19 academic year</w:t>
      </w:r>
      <w:r w:rsidRPr="00E63567">
        <w:t xml:space="preserve"> were published in June 202</w:t>
      </w:r>
      <w:r w:rsidR="0028731E">
        <w:t xml:space="preserve">1. This is the second year that the </w:t>
      </w:r>
      <w:r w:rsidR="007E051A">
        <w:t xml:space="preserve">GoS was carried out, having </w:t>
      </w:r>
      <w:r w:rsidRPr="00E63567">
        <w:t>replac</w:t>
      </w:r>
      <w:r w:rsidR="007E051A">
        <w:t>ed</w:t>
      </w:r>
      <w:r w:rsidRPr="00E63567">
        <w:t xml:space="preserve"> the institutionally administered DHLE survey</w:t>
      </w:r>
      <w:r w:rsidR="007E051A">
        <w:t xml:space="preserve"> in 20</w:t>
      </w:r>
      <w:r w:rsidR="009A4932">
        <w:t>20</w:t>
      </w:r>
      <w:r w:rsidRPr="00E63567">
        <w:t xml:space="preserve">. </w:t>
      </w:r>
    </w:p>
    <w:p w14:paraId="48762E36" w14:textId="47CFF5C8" w:rsidR="00AF7F07" w:rsidRDefault="00303531" w:rsidP="00C17DE8">
      <w:pPr>
        <w:numPr>
          <w:ilvl w:val="0"/>
          <w:numId w:val="5"/>
        </w:numPr>
        <w:spacing w:after="5" w:line="250" w:lineRule="auto"/>
        <w:ind w:right="272" w:hanging="360"/>
      </w:pPr>
      <w:r>
        <w:t>There was no access to institutional analysis so data was acquired from HESA and Discover Uni.</w:t>
      </w:r>
    </w:p>
    <w:p w14:paraId="351C7C1A" w14:textId="289D77DC" w:rsidR="00ED70FB" w:rsidRPr="00E63567" w:rsidRDefault="00C17DE8" w:rsidP="005A3381">
      <w:pPr>
        <w:numPr>
          <w:ilvl w:val="1"/>
          <w:numId w:val="5"/>
        </w:numPr>
        <w:spacing w:after="0" w:line="250" w:lineRule="auto"/>
        <w:ind w:right="272" w:hanging="360"/>
      </w:pPr>
      <w:r w:rsidRPr="00E63567">
        <w:t xml:space="preserve">Percentage of students in employment ranged from </w:t>
      </w:r>
      <w:r w:rsidR="00117661">
        <w:t>65</w:t>
      </w:r>
      <w:r w:rsidRPr="00E63567">
        <w:t>-9</w:t>
      </w:r>
      <w:r w:rsidR="00ED70FB">
        <w:t>5</w:t>
      </w:r>
      <w:r w:rsidRPr="00E63567">
        <w:t xml:space="preserve">% </w:t>
      </w:r>
      <w:r w:rsidR="00CF5AB4">
        <w:t xml:space="preserve">at 15 months after graduation </w:t>
      </w:r>
      <w:r w:rsidRPr="00E63567">
        <w:t xml:space="preserve">(Table </w:t>
      </w:r>
      <w:r w:rsidR="00B1440E">
        <w:t>2</w:t>
      </w:r>
      <w:r w:rsidRPr="00E63567">
        <w:t>)</w:t>
      </w:r>
      <w:r w:rsidR="00D250A3">
        <w:t xml:space="preserve">. </w:t>
      </w:r>
      <w:r w:rsidR="00297054">
        <w:t xml:space="preserve">Compared to </w:t>
      </w:r>
      <w:r w:rsidR="00CF5AB4">
        <w:t xml:space="preserve">the </w:t>
      </w:r>
      <w:r w:rsidR="00DB00C0">
        <w:t>2017/18 cohorts, several programmes saw decreases</w:t>
      </w:r>
      <w:r w:rsidR="00D75166">
        <w:t xml:space="preserve"> </w:t>
      </w:r>
      <w:r w:rsidR="009844CF">
        <w:t xml:space="preserve">in employment of </w:t>
      </w:r>
      <w:r w:rsidR="008D1ADE" w:rsidRPr="008D1ADE">
        <w:t>≥</w:t>
      </w:r>
      <w:r w:rsidR="00D75166">
        <w:t xml:space="preserve">10% (Biology, Forensic Anthropology, and </w:t>
      </w:r>
      <w:r w:rsidR="009844CF">
        <w:t xml:space="preserve">Zoology). </w:t>
      </w:r>
      <w:r w:rsidR="00BA0868">
        <w:t>Animal Behaviour and Geography saw increases of 10% compared to 2017/18.</w:t>
      </w:r>
    </w:p>
    <w:p w14:paraId="2362BEB2" w14:textId="778E530C" w:rsidR="00FA4DA9" w:rsidRDefault="00C17DE8" w:rsidP="005A3381">
      <w:pPr>
        <w:numPr>
          <w:ilvl w:val="1"/>
          <w:numId w:val="5"/>
        </w:numPr>
        <w:spacing w:after="0" w:line="250" w:lineRule="auto"/>
        <w:ind w:right="272" w:hanging="360"/>
      </w:pPr>
      <w:r w:rsidRPr="00E63567">
        <w:t xml:space="preserve">The percentage of students in highly skilled employment was variable across the school with </w:t>
      </w:r>
      <w:r w:rsidR="001B119E">
        <w:t xml:space="preserve">a range of </w:t>
      </w:r>
      <w:r w:rsidR="00053452">
        <w:t xml:space="preserve">20-45%. </w:t>
      </w:r>
      <w:r w:rsidRPr="00E63567">
        <w:t>Biology</w:t>
      </w:r>
      <w:r w:rsidR="00135D40">
        <w:t xml:space="preserve"> and Geography </w:t>
      </w:r>
      <w:r w:rsidR="00053452">
        <w:t xml:space="preserve">showed the highest </w:t>
      </w:r>
      <w:r w:rsidR="00012E10">
        <w:t>(45%), and Animal Behaviour the lowest (20%).</w:t>
      </w:r>
    </w:p>
    <w:p w14:paraId="338DBC8C" w14:textId="309FBB36" w:rsidR="00E31588" w:rsidRDefault="0032620F" w:rsidP="005A3381">
      <w:pPr>
        <w:numPr>
          <w:ilvl w:val="1"/>
          <w:numId w:val="5"/>
        </w:numPr>
        <w:spacing w:after="0" w:line="250" w:lineRule="auto"/>
        <w:ind w:right="258" w:hanging="370"/>
      </w:pPr>
      <w:r w:rsidRPr="00E63567">
        <w:t>All programmes in Biological and Environmental Science performed below the LJMU</w:t>
      </w:r>
      <w:r>
        <w:t xml:space="preserve"> Institutional</w:t>
      </w:r>
      <w:r w:rsidRPr="00E63567">
        <w:t xml:space="preserve"> average (Table </w:t>
      </w:r>
      <w:r w:rsidR="00B1440E">
        <w:t>2</w:t>
      </w:r>
      <w:r w:rsidRPr="00E63567">
        <w:t>)</w:t>
      </w:r>
      <w:r w:rsidR="00A97AD8">
        <w:t>.</w:t>
      </w:r>
    </w:p>
    <w:p w14:paraId="5A7008EC" w14:textId="0CB3B151" w:rsidR="00672856" w:rsidRDefault="00A97AD8" w:rsidP="00B516F9">
      <w:pPr>
        <w:numPr>
          <w:ilvl w:val="1"/>
          <w:numId w:val="5"/>
        </w:numPr>
        <w:spacing w:after="0" w:line="250" w:lineRule="auto"/>
        <w:ind w:right="258" w:hanging="370"/>
      </w:pPr>
      <w:r>
        <w:t>The percentage of students in e</w:t>
      </w:r>
      <w:r w:rsidR="00C73B29">
        <w:t>ither high</w:t>
      </w:r>
      <w:r w:rsidR="005A3381">
        <w:t xml:space="preserve"> skilled employment or further study is likely to be an important metric in the future</w:t>
      </w:r>
      <w:r w:rsidR="00663FB2">
        <w:t xml:space="preserve">. Within the school, this percentage ranged </w:t>
      </w:r>
      <w:r w:rsidR="005D0FF5">
        <w:t>23%-43%.</w:t>
      </w:r>
    </w:p>
    <w:p w14:paraId="2F2C8827" w14:textId="77777777" w:rsidR="00672856" w:rsidRPr="00A97AD8" w:rsidRDefault="00672856" w:rsidP="00672856">
      <w:pPr>
        <w:spacing w:after="0" w:line="250" w:lineRule="auto"/>
        <w:ind w:left="1065" w:right="258"/>
      </w:pPr>
    </w:p>
    <w:p w14:paraId="3306C683" w14:textId="24397AFA" w:rsidR="00E31588" w:rsidRDefault="0084053A" w:rsidP="00E31588">
      <w:pPr>
        <w:spacing w:after="10"/>
        <w:ind w:right="1260"/>
        <w:rPr>
          <w:sz w:val="24"/>
        </w:rPr>
      </w:pPr>
      <w:r w:rsidRPr="0084053A">
        <w:rPr>
          <w:noProof/>
          <w:sz w:val="24"/>
        </w:rPr>
        <w:drawing>
          <wp:inline distT="0" distB="0" distL="0" distR="0" wp14:anchorId="4C2FA030" wp14:editId="248E567F">
            <wp:extent cx="5731510" cy="17926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92605"/>
                    </a:xfrm>
                    <a:prstGeom prst="rect">
                      <a:avLst/>
                    </a:prstGeom>
                  </pic:spPr>
                </pic:pic>
              </a:graphicData>
            </a:graphic>
          </wp:inline>
        </w:drawing>
      </w:r>
    </w:p>
    <w:p w14:paraId="0AD55A6A" w14:textId="2FDD655E" w:rsidR="00C17DE8" w:rsidRDefault="00C17DE8" w:rsidP="003306AC">
      <w:pPr>
        <w:spacing w:after="10"/>
        <w:ind w:right="1260"/>
        <w:rPr>
          <w:i/>
          <w:sz w:val="20"/>
        </w:rPr>
      </w:pPr>
      <w:r>
        <w:rPr>
          <w:sz w:val="24"/>
        </w:rPr>
        <w:t xml:space="preserve"> </w:t>
      </w:r>
      <w:r>
        <w:rPr>
          <w:i/>
          <w:sz w:val="20"/>
        </w:rPr>
        <w:t xml:space="preserve">Table </w:t>
      </w:r>
      <w:r w:rsidR="00B1440E">
        <w:rPr>
          <w:i/>
          <w:sz w:val="20"/>
        </w:rPr>
        <w:t>2</w:t>
      </w:r>
      <w:r>
        <w:rPr>
          <w:i/>
          <w:sz w:val="20"/>
        </w:rPr>
        <w:t>: Graduate Outcome Survey employment data 15 months after cessation of study for students graduating in 201</w:t>
      </w:r>
      <w:r w:rsidR="00E31588">
        <w:rPr>
          <w:i/>
          <w:sz w:val="20"/>
        </w:rPr>
        <w:t>8</w:t>
      </w:r>
      <w:r>
        <w:rPr>
          <w:i/>
          <w:sz w:val="20"/>
        </w:rPr>
        <w:t>-1</w:t>
      </w:r>
      <w:r w:rsidR="00E31588">
        <w:rPr>
          <w:i/>
          <w:sz w:val="20"/>
        </w:rPr>
        <w:t>9</w:t>
      </w:r>
      <w:r>
        <w:rPr>
          <w:i/>
          <w:sz w:val="20"/>
        </w:rPr>
        <w:t xml:space="preserve">. Data shows the total % in work/study, the % in highly skilled employment, and % in other work gathered from DiscoverUni.gov.uk. </w:t>
      </w:r>
    </w:p>
    <w:p w14:paraId="381A6A45" w14:textId="215CB8DB" w:rsidR="0065490A" w:rsidRDefault="0065490A" w:rsidP="0065490A"/>
    <w:p w14:paraId="7A27904A" w14:textId="15168C8A" w:rsidR="0065490A" w:rsidRDefault="00E47E03" w:rsidP="0065490A">
      <w:pPr>
        <w:numPr>
          <w:ilvl w:val="1"/>
          <w:numId w:val="5"/>
        </w:numPr>
        <w:spacing w:after="0" w:line="250" w:lineRule="auto"/>
        <w:ind w:right="258" w:hanging="370"/>
      </w:pPr>
      <w:r>
        <w:t xml:space="preserve">As part of the </w:t>
      </w:r>
      <w:r w:rsidR="008248EC" w:rsidRPr="008248EC">
        <w:t>Graduate Outcome Survey</w:t>
      </w:r>
      <w:r w:rsidR="00C9597C">
        <w:t>, graduates are surveyed on their perceptions of the course</w:t>
      </w:r>
      <w:r w:rsidR="00533C8A">
        <w:t xml:space="preserve"> with regard to </w:t>
      </w:r>
      <w:r w:rsidR="00D846E0">
        <w:t>u</w:t>
      </w:r>
      <w:r w:rsidR="00CE430B">
        <w:t>sefulness</w:t>
      </w:r>
      <w:r w:rsidR="00533C8A">
        <w:t xml:space="preserve"> of </w:t>
      </w:r>
      <w:r w:rsidR="00CE430B">
        <w:t xml:space="preserve">knowledge from their degree, the </w:t>
      </w:r>
      <w:r w:rsidR="00D846E0">
        <w:t>m</w:t>
      </w:r>
      <w:r w:rsidR="00CE430B">
        <w:t xml:space="preserve">eaningfulness of their work, and </w:t>
      </w:r>
      <w:r w:rsidR="00D846E0">
        <w:t xml:space="preserve">whether their work fits with their </w:t>
      </w:r>
      <w:r w:rsidR="002A7249">
        <w:t>f</w:t>
      </w:r>
      <w:r w:rsidR="00D846E0">
        <w:t>uture plans</w:t>
      </w:r>
      <w:r w:rsidR="002A7249">
        <w:t xml:space="preserve"> (</w:t>
      </w:r>
      <w:r w:rsidR="00CD1E4F">
        <w:t>Fi</w:t>
      </w:r>
      <w:r w:rsidR="00865CB3">
        <w:t>g.</w:t>
      </w:r>
      <w:r w:rsidR="002A7249">
        <w:t xml:space="preserve"> </w:t>
      </w:r>
      <w:r w:rsidR="00865CB3">
        <w:t>1</w:t>
      </w:r>
      <w:r w:rsidR="002A7249">
        <w:t>).</w:t>
      </w:r>
    </w:p>
    <w:p w14:paraId="08B97D0A" w14:textId="77777777" w:rsidR="00B0133F" w:rsidRDefault="00865CB3" w:rsidP="0065490A">
      <w:pPr>
        <w:numPr>
          <w:ilvl w:val="1"/>
          <w:numId w:val="5"/>
        </w:numPr>
        <w:spacing w:after="0" w:line="250" w:lineRule="auto"/>
        <w:ind w:right="258" w:hanging="370"/>
      </w:pPr>
      <w:r>
        <w:t xml:space="preserve">Perceptions of the usefulness of degree knowledge ranged from </w:t>
      </w:r>
      <w:r w:rsidR="00AE3DFD">
        <w:t xml:space="preserve">35% (Forensic Anthropology and Geography) to </w:t>
      </w:r>
      <w:r w:rsidR="00B0133F">
        <w:t>60% (Biology).</w:t>
      </w:r>
    </w:p>
    <w:p w14:paraId="67AE7BBB" w14:textId="3675C338" w:rsidR="00B0133F" w:rsidRDefault="00AE3DFD" w:rsidP="00B0133F">
      <w:pPr>
        <w:numPr>
          <w:ilvl w:val="1"/>
          <w:numId w:val="5"/>
        </w:numPr>
        <w:spacing w:after="0" w:line="250" w:lineRule="auto"/>
        <w:ind w:right="258" w:hanging="370"/>
      </w:pPr>
      <w:r>
        <w:t xml:space="preserve"> </w:t>
      </w:r>
      <w:r w:rsidR="00B0133F">
        <w:t xml:space="preserve">Perceptions of whether their job fits with their future plans ranged from 35% (Geography) to </w:t>
      </w:r>
      <w:r w:rsidR="00EC6A9D">
        <w:t>75</w:t>
      </w:r>
      <w:r w:rsidR="00B0133F">
        <w:t>% (</w:t>
      </w:r>
      <w:r w:rsidR="00EC6A9D">
        <w:t>Zoology</w:t>
      </w:r>
      <w:r w:rsidR="00B0133F">
        <w:t>).</w:t>
      </w:r>
    </w:p>
    <w:p w14:paraId="456954D6" w14:textId="45BA4C00" w:rsidR="002A7249" w:rsidRPr="00B516F9" w:rsidRDefault="00BA5419" w:rsidP="0065490A">
      <w:pPr>
        <w:numPr>
          <w:ilvl w:val="1"/>
          <w:numId w:val="5"/>
        </w:numPr>
        <w:spacing w:after="0" w:line="250" w:lineRule="auto"/>
        <w:ind w:right="258" w:hanging="370"/>
      </w:pPr>
      <w:r>
        <w:t xml:space="preserve">The low graduate perceptions of degree usefulness and </w:t>
      </w:r>
      <w:r w:rsidR="00646579">
        <w:t xml:space="preserve">fit with future plans suggests </w:t>
      </w:r>
      <w:r w:rsidR="00881CB6">
        <w:t xml:space="preserve">that when aligning course content with careers, </w:t>
      </w:r>
      <w:r w:rsidR="00665A5D">
        <w:t>greater attention needs to be paid to past graduate destinations</w:t>
      </w:r>
      <w:r w:rsidR="00FB2C59">
        <w:t xml:space="preserve"> though </w:t>
      </w:r>
      <w:r w:rsidR="00F11A85">
        <w:t>to some degree</w:t>
      </w:r>
      <w:r w:rsidR="00881CB6">
        <w:t xml:space="preserve"> this</w:t>
      </w:r>
      <w:r w:rsidR="00F11A85">
        <w:t xml:space="preserve"> could be reflective of more diverse and non-specific </w:t>
      </w:r>
      <w:r w:rsidR="00881CB6">
        <w:t xml:space="preserve">careers for some </w:t>
      </w:r>
      <w:r w:rsidR="00665F89">
        <w:lastRenderedPageBreak/>
        <w:t xml:space="preserve">degree programmes (e.g. Geography graduate professional jobs </w:t>
      </w:r>
      <w:r w:rsidR="00527F3D">
        <w:t>include Project management and marketing professionals).</w:t>
      </w:r>
    </w:p>
    <w:p w14:paraId="7D2C68A5" w14:textId="69AF1859" w:rsidR="0065490A" w:rsidRDefault="0065490A" w:rsidP="0065490A"/>
    <w:p w14:paraId="7D460E28" w14:textId="08E604A7" w:rsidR="00CD1E4F" w:rsidRDefault="007A7CF8" w:rsidP="0065490A">
      <w:r w:rsidRPr="007A7CF8">
        <w:rPr>
          <w:noProof/>
        </w:rPr>
        <w:drawing>
          <wp:inline distT="0" distB="0" distL="0" distR="0" wp14:anchorId="6B061A86" wp14:editId="4DAC0A49">
            <wp:extent cx="5414645" cy="2901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92" t="3969" r="2304" b="5529"/>
                    <a:stretch/>
                  </pic:blipFill>
                  <pic:spPr bwMode="auto">
                    <a:xfrm>
                      <a:off x="0" y="0"/>
                      <a:ext cx="5416493" cy="2902205"/>
                    </a:xfrm>
                    <a:prstGeom prst="rect">
                      <a:avLst/>
                    </a:prstGeom>
                    <a:ln>
                      <a:noFill/>
                    </a:ln>
                    <a:extLst>
                      <a:ext uri="{53640926-AAD7-44D8-BBD7-CCE9431645EC}">
                        <a14:shadowObscured xmlns:a14="http://schemas.microsoft.com/office/drawing/2010/main"/>
                      </a:ext>
                    </a:extLst>
                  </pic:spPr>
                </pic:pic>
              </a:graphicData>
            </a:graphic>
          </wp:inline>
        </w:drawing>
      </w:r>
    </w:p>
    <w:p w14:paraId="0C84D666" w14:textId="48D8B9FB" w:rsidR="00FA1DFB" w:rsidRDefault="00FA1DFB" w:rsidP="00FA1DFB">
      <w:pPr>
        <w:spacing w:after="155" w:line="240" w:lineRule="auto"/>
        <w:ind w:left="-5" w:right="129" w:hanging="10"/>
        <w:rPr>
          <w:i/>
          <w:sz w:val="20"/>
        </w:rPr>
      </w:pPr>
      <w:r>
        <w:rPr>
          <w:i/>
          <w:sz w:val="20"/>
        </w:rPr>
        <w:t xml:space="preserve">Fig. 1: BES programme specific responses from the Careers Readiness survey about access to careers advice in the past. This question is provided to new students only. </w:t>
      </w:r>
    </w:p>
    <w:p w14:paraId="7B4D2F57" w14:textId="222E2BEF" w:rsidR="007A7CF8" w:rsidRDefault="007A7CF8" w:rsidP="0065490A"/>
    <w:p w14:paraId="47190C76" w14:textId="77777777" w:rsidR="003306AC" w:rsidRDefault="003306AC" w:rsidP="003306AC">
      <w:pPr>
        <w:spacing w:after="10"/>
        <w:ind w:right="1260"/>
      </w:pPr>
    </w:p>
    <w:p w14:paraId="48E79E4E" w14:textId="4D28E7A5" w:rsidR="00C17DE8" w:rsidRDefault="00C17DE8">
      <w:pPr>
        <w:pStyle w:val="Heading2"/>
        <w:ind w:left="-5"/>
      </w:pPr>
      <w:r>
        <w:t xml:space="preserve">Institutional Data </w:t>
      </w:r>
    </w:p>
    <w:p w14:paraId="78B0FA4A" w14:textId="48A65C65" w:rsidR="00C17DE8" w:rsidRDefault="00C17DE8">
      <w:pPr>
        <w:spacing w:after="128"/>
        <w:ind w:right="205"/>
      </w:pPr>
      <w:r>
        <w:t xml:space="preserve">During the course of a students attendance at LJMU they are surveyed as part of Student </w:t>
      </w:r>
      <w:r w:rsidR="00B72EAA">
        <w:t>Futu</w:t>
      </w:r>
      <w:r w:rsidR="007228B4">
        <w:t>res</w:t>
      </w:r>
      <w:r>
        <w:t xml:space="preserve"> administered Career Readiness Survey. Students are surveyed at each level of study on several topics</w:t>
      </w:r>
      <w:r w:rsidR="00A2167A">
        <w:t>:</w:t>
      </w:r>
    </w:p>
    <w:p w14:paraId="387ECE90" w14:textId="77777777" w:rsidR="00C17DE8" w:rsidRDefault="00C17DE8" w:rsidP="00C17DE8">
      <w:pPr>
        <w:numPr>
          <w:ilvl w:val="0"/>
          <w:numId w:val="6"/>
        </w:numPr>
        <w:spacing w:after="5" w:line="250" w:lineRule="auto"/>
        <w:ind w:right="205" w:hanging="360"/>
      </w:pPr>
      <w:r>
        <w:t xml:space="preserve">Prior careers advice (Fig. 2) </w:t>
      </w:r>
    </w:p>
    <w:p w14:paraId="73C73084" w14:textId="366F1560" w:rsidR="00C17DE8" w:rsidRDefault="00C17DE8" w:rsidP="00C17DE8">
      <w:pPr>
        <w:numPr>
          <w:ilvl w:val="1"/>
          <w:numId w:val="6"/>
        </w:numPr>
        <w:spacing w:after="5" w:line="250" w:lineRule="auto"/>
        <w:ind w:right="205" w:hanging="360"/>
      </w:pPr>
      <w:r>
        <w:t>For all programmes in the school of Biological and Environmental Science, only between 2</w:t>
      </w:r>
      <w:r w:rsidR="00AF5F96">
        <w:t>2</w:t>
      </w:r>
      <w:r>
        <w:t xml:space="preserve"> and 4</w:t>
      </w:r>
      <w:r w:rsidR="00AF5F96">
        <w:t>2</w:t>
      </w:r>
      <w:r>
        <w:t xml:space="preserve">% of students have had access to career advice prior to joining their programme at LJMU. </w:t>
      </w:r>
    </w:p>
    <w:p w14:paraId="3B9D3FB9" w14:textId="681BF528" w:rsidR="00C17DE8" w:rsidRDefault="00C17DE8" w:rsidP="00C17DE8">
      <w:pPr>
        <w:numPr>
          <w:ilvl w:val="1"/>
          <w:numId w:val="6"/>
        </w:numPr>
        <w:spacing w:after="5" w:line="250" w:lineRule="auto"/>
        <w:ind w:right="205" w:hanging="360"/>
      </w:pPr>
      <w:r>
        <w:t>Career planning</w:t>
      </w:r>
      <w:r w:rsidR="00A45D10">
        <w:t xml:space="preserve"> and advice</w:t>
      </w:r>
      <w:r>
        <w:t xml:space="preserve"> from L4 onwards is an important process during their time on the</w:t>
      </w:r>
      <w:r w:rsidR="00A45D10">
        <w:t>ir</w:t>
      </w:r>
      <w:r>
        <w:t xml:space="preserve"> programme</w:t>
      </w:r>
      <w:r w:rsidR="00A45D10">
        <w:t>s</w:t>
      </w:r>
      <w:r>
        <w:t xml:space="preserve">. </w:t>
      </w:r>
    </w:p>
    <w:p w14:paraId="1AA27B25" w14:textId="77777777" w:rsidR="00C17DE8" w:rsidRDefault="00C17DE8" w:rsidP="0064504D">
      <w:pPr>
        <w:ind w:left="1065" w:right="205"/>
      </w:pPr>
    </w:p>
    <w:p w14:paraId="665AF33C" w14:textId="69D6B4C1" w:rsidR="00C17DE8" w:rsidRDefault="001A1C76">
      <w:pPr>
        <w:spacing w:after="81"/>
      </w:pPr>
      <w:r w:rsidRPr="001A1C76">
        <w:rPr>
          <w:noProof/>
        </w:rPr>
        <w:lastRenderedPageBreak/>
        <w:drawing>
          <wp:inline distT="0" distB="0" distL="0" distR="0" wp14:anchorId="6CE1424D" wp14:editId="0D008FB8">
            <wp:extent cx="5731510" cy="348170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481705"/>
                    </a:xfrm>
                    <a:prstGeom prst="rect">
                      <a:avLst/>
                    </a:prstGeom>
                  </pic:spPr>
                </pic:pic>
              </a:graphicData>
            </a:graphic>
          </wp:inline>
        </w:drawing>
      </w:r>
    </w:p>
    <w:p w14:paraId="4A3238DC" w14:textId="763CC8EC" w:rsidR="00C17DE8" w:rsidRDefault="00C17DE8">
      <w:pPr>
        <w:spacing w:after="155" w:line="240" w:lineRule="auto"/>
        <w:ind w:left="-5" w:right="129" w:hanging="10"/>
        <w:rPr>
          <w:i/>
          <w:sz w:val="20"/>
        </w:rPr>
      </w:pPr>
      <w:r>
        <w:rPr>
          <w:i/>
          <w:sz w:val="20"/>
        </w:rPr>
        <w:t xml:space="preserve">Fig. 2: BES programme specific responses from the Careers Readiness survey about access to careers advice in the past. This question is provided to new students only. </w:t>
      </w:r>
    </w:p>
    <w:p w14:paraId="14F4FC46" w14:textId="77777777" w:rsidR="00E32B54" w:rsidRDefault="00E32B54">
      <w:pPr>
        <w:spacing w:after="155" w:line="240" w:lineRule="auto"/>
        <w:ind w:left="-5" w:right="129" w:hanging="10"/>
      </w:pPr>
    </w:p>
    <w:p w14:paraId="66AEB796" w14:textId="77777777" w:rsidR="00C17DE8" w:rsidRPr="00E63567" w:rsidRDefault="00C17DE8" w:rsidP="00C17DE8">
      <w:pPr>
        <w:pStyle w:val="ListParagraph"/>
        <w:numPr>
          <w:ilvl w:val="0"/>
          <w:numId w:val="13"/>
        </w:numPr>
        <w:spacing w:before="0" w:after="5" w:line="250" w:lineRule="auto"/>
        <w:ind w:right="205"/>
        <w:rPr>
          <w:sz w:val="22"/>
          <w:szCs w:val="22"/>
        </w:rPr>
      </w:pPr>
      <w:r w:rsidRPr="00E63567">
        <w:rPr>
          <w:sz w:val="22"/>
          <w:szCs w:val="22"/>
        </w:rPr>
        <w:t xml:space="preserve">Use of the career service events and facilities (Fig. 3) </w:t>
      </w:r>
    </w:p>
    <w:p w14:paraId="57C5D3C0" w14:textId="77777777" w:rsidR="00C17DE8" w:rsidRPr="00E63567" w:rsidRDefault="00C17DE8" w:rsidP="00C17DE8">
      <w:pPr>
        <w:pStyle w:val="ListParagraph"/>
        <w:numPr>
          <w:ilvl w:val="1"/>
          <w:numId w:val="6"/>
        </w:numPr>
        <w:spacing w:before="0" w:after="1149" w:line="259" w:lineRule="auto"/>
        <w:ind w:hanging="370"/>
        <w:rPr>
          <w:sz w:val="22"/>
          <w:szCs w:val="22"/>
        </w:rPr>
      </w:pPr>
      <w:r w:rsidRPr="00E63567">
        <w:rPr>
          <w:sz w:val="22"/>
          <w:szCs w:val="22"/>
        </w:rPr>
        <w:t xml:space="preserve">Students are surveyed on their participation and use of the careers service provision and resources. </w:t>
      </w:r>
    </w:p>
    <w:p w14:paraId="5B5959EB" w14:textId="0A227401" w:rsidR="00C17DE8" w:rsidRPr="00BE2EF8" w:rsidRDefault="009776CD" w:rsidP="00C17DE8">
      <w:pPr>
        <w:pStyle w:val="ListParagraph"/>
        <w:numPr>
          <w:ilvl w:val="1"/>
          <w:numId w:val="6"/>
        </w:numPr>
        <w:spacing w:before="0" w:after="100" w:afterAutospacing="1" w:line="259" w:lineRule="auto"/>
        <w:ind w:left="1424" w:hanging="369"/>
        <w:rPr>
          <w:i/>
          <w:sz w:val="22"/>
          <w:szCs w:val="22"/>
        </w:rPr>
      </w:pPr>
      <w:r>
        <w:rPr>
          <w:sz w:val="22"/>
          <w:szCs w:val="22"/>
        </w:rPr>
        <w:t>A</w:t>
      </w:r>
      <w:r w:rsidR="00C17DE8" w:rsidRPr="00E63567">
        <w:rPr>
          <w:sz w:val="22"/>
          <w:szCs w:val="22"/>
        </w:rPr>
        <w:t>cross the 7 undergraduate programmes</w:t>
      </w:r>
      <w:r w:rsidR="00354A2B">
        <w:rPr>
          <w:sz w:val="22"/>
          <w:szCs w:val="22"/>
        </w:rPr>
        <w:t xml:space="preserve"> there is very little uptake </w:t>
      </w:r>
      <w:r>
        <w:rPr>
          <w:sz w:val="22"/>
          <w:szCs w:val="22"/>
        </w:rPr>
        <w:t xml:space="preserve">of careers and employability </w:t>
      </w:r>
      <w:r w:rsidR="004056B2">
        <w:rPr>
          <w:sz w:val="22"/>
          <w:szCs w:val="22"/>
        </w:rPr>
        <w:t>support</w:t>
      </w:r>
    </w:p>
    <w:p w14:paraId="66C90FD2" w14:textId="71A50D6C" w:rsidR="00BE2EF8" w:rsidRPr="00A42DF8" w:rsidRDefault="00BE2EF8" w:rsidP="00C17DE8">
      <w:pPr>
        <w:pStyle w:val="ListParagraph"/>
        <w:numPr>
          <w:ilvl w:val="1"/>
          <w:numId w:val="6"/>
        </w:numPr>
        <w:spacing w:before="0" w:after="100" w:afterAutospacing="1" w:line="259" w:lineRule="auto"/>
        <w:ind w:left="1424" w:hanging="369"/>
        <w:rPr>
          <w:i/>
          <w:sz w:val="22"/>
          <w:szCs w:val="22"/>
        </w:rPr>
      </w:pPr>
      <w:r>
        <w:rPr>
          <w:sz w:val="22"/>
          <w:szCs w:val="22"/>
        </w:rPr>
        <w:t xml:space="preserve">Greatest use of support </w:t>
      </w:r>
      <w:r w:rsidR="007678E4">
        <w:rPr>
          <w:sz w:val="22"/>
          <w:szCs w:val="22"/>
        </w:rPr>
        <w:t xml:space="preserve">are 1:1 tutorials with personal tutors. However, despite registration of attendance, </w:t>
      </w:r>
      <w:r w:rsidR="00A42DF8">
        <w:rPr>
          <w:sz w:val="22"/>
          <w:szCs w:val="22"/>
        </w:rPr>
        <w:t>uptake is still very low (15-35%).</w:t>
      </w:r>
    </w:p>
    <w:p w14:paraId="6400E3CA" w14:textId="655B38BF" w:rsidR="00A42DF8" w:rsidRPr="008E0E3E" w:rsidRDefault="003F5B40" w:rsidP="00C17DE8">
      <w:pPr>
        <w:pStyle w:val="ListParagraph"/>
        <w:numPr>
          <w:ilvl w:val="1"/>
          <w:numId w:val="6"/>
        </w:numPr>
        <w:spacing w:before="0" w:after="100" w:afterAutospacing="1" w:line="259" w:lineRule="auto"/>
        <w:ind w:left="1424" w:hanging="369"/>
        <w:rPr>
          <w:i/>
          <w:sz w:val="22"/>
          <w:szCs w:val="22"/>
        </w:rPr>
      </w:pPr>
      <w:r>
        <w:rPr>
          <w:sz w:val="22"/>
          <w:szCs w:val="22"/>
        </w:rPr>
        <w:t xml:space="preserve">Overall, there needs to be an increase in the advertisement of, and encouragement to engage with </w:t>
      </w:r>
      <w:r w:rsidR="008E0E3E">
        <w:rPr>
          <w:sz w:val="22"/>
          <w:szCs w:val="22"/>
        </w:rPr>
        <w:t>career development support.</w:t>
      </w:r>
    </w:p>
    <w:p w14:paraId="779CE514" w14:textId="13274E8A" w:rsidR="008E0E3E" w:rsidRPr="00E63567" w:rsidRDefault="008E0E3E" w:rsidP="00C17DE8">
      <w:pPr>
        <w:pStyle w:val="ListParagraph"/>
        <w:numPr>
          <w:ilvl w:val="1"/>
          <w:numId w:val="6"/>
        </w:numPr>
        <w:spacing w:before="0" w:after="100" w:afterAutospacing="1" w:line="259" w:lineRule="auto"/>
        <w:ind w:left="1424" w:hanging="369"/>
        <w:rPr>
          <w:i/>
          <w:sz w:val="22"/>
          <w:szCs w:val="22"/>
        </w:rPr>
      </w:pPr>
      <w:r>
        <w:rPr>
          <w:sz w:val="22"/>
          <w:szCs w:val="22"/>
        </w:rPr>
        <w:t xml:space="preserve">Along with this, programmes </w:t>
      </w:r>
      <w:r w:rsidR="00C636C3">
        <w:rPr>
          <w:sz w:val="22"/>
          <w:szCs w:val="22"/>
        </w:rPr>
        <w:t>would benefit from identifying ways to encourage attendance of mandatory 1:1 meetings.</w:t>
      </w:r>
    </w:p>
    <w:p w14:paraId="0DDB7F2A" w14:textId="2BA88EDD" w:rsidR="00C17DE8" w:rsidRPr="00576889" w:rsidRDefault="00BB3C62" w:rsidP="00B52C0D">
      <w:pPr>
        <w:spacing w:after="0"/>
        <w:rPr>
          <w:i/>
          <w:sz w:val="20"/>
        </w:rPr>
      </w:pPr>
      <w:r w:rsidRPr="00BB3C62">
        <w:rPr>
          <w:i/>
          <w:noProof/>
          <w:sz w:val="20"/>
        </w:rPr>
        <w:lastRenderedPageBreak/>
        <w:drawing>
          <wp:inline distT="0" distB="0" distL="0" distR="0" wp14:anchorId="7C7D7911" wp14:editId="42C119E6">
            <wp:extent cx="5731510" cy="29229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922905"/>
                    </a:xfrm>
                    <a:prstGeom prst="rect">
                      <a:avLst/>
                    </a:prstGeom>
                  </pic:spPr>
                </pic:pic>
              </a:graphicData>
            </a:graphic>
          </wp:inline>
        </w:drawing>
      </w:r>
    </w:p>
    <w:p w14:paraId="38AA2C39" w14:textId="600832EE" w:rsidR="00C17DE8" w:rsidRDefault="00C17DE8">
      <w:pPr>
        <w:spacing w:after="155" w:line="240" w:lineRule="auto"/>
        <w:ind w:left="-5" w:right="129" w:hanging="10"/>
      </w:pPr>
      <w:r>
        <w:rPr>
          <w:i/>
          <w:sz w:val="20"/>
        </w:rPr>
        <w:t xml:space="preserve">Fig. 3: </w:t>
      </w:r>
      <w:r w:rsidR="00D46C8E">
        <w:rPr>
          <w:i/>
          <w:sz w:val="20"/>
        </w:rPr>
        <w:t>U</w:t>
      </w:r>
      <w:r w:rsidR="00ED4E34">
        <w:rPr>
          <w:i/>
          <w:sz w:val="20"/>
        </w:rPr>
        <w:t xml:space="preserve">ptake of careers and employability support </w:t>
      </w:r>
      <w:r w:rsidR="00D46C8E">
        <w:rPr>
          <w:i/>
          <w:sz w:val="20"/>
        </w:rPr>
        <w:t xml:space="preserve">from the programmes within BES. Percentages are shown as </w:t>
      </w:r>
      <w:r w:rsidR="00354A2B">
        <w:rPr>
          <w:i/>
          <w:sz w:val="20"/>
        </w:rPr>
        <w:t>percentage of cohort, with students able to select multiple options.</w:t>
      </w:r>
      <w:r>
        <w:rPr>
          <w:i/>
          <w:sz w:val="20"/>
        </w:rPr>
        <w:t xml:space="preserve"> </w:t>
      </w:r>
    </w:p>
    <w:p w14:paraId="736F68DC" w14:textId="77777777" w:rsidR="00C17DE8" w:rsidRDefault="00C17DE8">
      <w:pPr>
        <w:spacing w:after="116"/>
      </w:pPr>
      <w:r>
        <w:t xml:space="preserve"> </w:t>
      </w:r>
    </w:p>
    <w:p w14:paraId="1416BE2E" w14:textId="3831C54B" w:rsidR="00C17DE8" w:rsidRPr="00E63567" w:rsidRDefault="00C17DE8" w:rsidP="00C17DE8">
      <w:pPr>
        <w:numPr>
          <w:ilvl w:val="0"/>
          <w:numId w:val="6"/>
        </w:numPr>
        <w:spacing w:after="5" w:line="250" w:lineRule="auto"/>
        <w:ind w:right="205" w:hanging="360"/>
      </w:pPr>
      <w:r w:rsidRPr="00E63567">
        <w:t>The status of their career planning and decisions based on a choice of statement within the survey</w:t>
      </w:r>
      <w:r w:rsidR="00A2167A">
        <w:t xml:space="preserve"> for both new (Fig. 4) and returning students (Fig. 5)</w:t>
      </w:r>
      <w:r w:rsidRPr="00E63567">
        <w:t xml:space="preserve">. </w:t>
      </w:r>
    </w:p>
    <w:p w14:paraId="763B766C" w14:textId="77777777" w:rsidR="00586018" w:rsidRDefault="00C17DE8" w:rsidP="00C17DE8">
      <w:pPr>
        <w:pStyle w:val="ListParagraph"/>
        <w:numPr>
          <w:ilvl w:val="1"/>
          <w:numId w:val="6"/>
        </w:numPr>
        <w:spacing w:before="0" w:after="5" w:line="250" w:lineRule="auto"/>
        <w:ind w:right="735" w:hanging="370"/>
        <w:rPr>
          <w:sz w:val="22"/>
          <w:szCs w:val="22"/>
        </w:rPr>
      </w:pPr>
      <w:r w:rsidRPr="00E63567">
        <w:rPr>
          <w:sz w:val="22"/>
          <w:szCs w:val="22"/>
        </w:rPr>
        <w:t>The majority of new students in BES chose the statement ‘I have some general career ideas’. This ranged from 50% (</w:t>
      </w:r>
      <w:r w:rsidR="006913CF">
        <w:rPr>
          <w:sz w:val="22"/>
          <w:szCs w:val="22"/>
        </w:rPr>
        <w:t>Climate Change</w:t>
      </w:r>
      <w:r w:rsidRPr="00E63567">
        <w:rPr>
          <w:sz w:val="22"/>
          <w:szCs w:val="22"/>
        </w:rPr>
        <w:t xml:space="preserve">) to </w:t>
      </w:r>
      <w:r w:rsidR="006913CF">
        <w:rPr>
          <w:sz w:val="22"/>
          <w:szCs w:val="22"/>
        </w:rPr>
        <w:t>~</w:t>
      </w:r>
      <w:r w:rsidRPr="00E63567">
        <w:rPr>
          <w:sz w:val="22"/>
          <w:szCs w:val="22"/>
        </w:rPr>
        <w:t>80% (</w:t>
      </w:r>
      <w:r w:rsidR="006913CF">
        <w:rPr>
          <w:sz w:val="22"/>
          <w:szCs w:val="22"/>
        </w:rPr>
        <w:t>Animal Behaviour and Wildlife Conservation</w:t>
      </w:r>
      <w:r w:rsidRPr="00E63567">
        <w:rPr>
          <w:sz w:val="22"/>
          <w:szCs w:val="22"/>
        </w:rPr>
        <w:t>) (Fig. 4)</w:t>
      </w:r>
    </w:p>
    <w:p w14:paraId="478AA0BC" w14:textId="7BBB99CC" w:rsidR="00C17DE8" w:rsidRPr="00E63567" w:rsidRDefault="00586018" w:rsidP="00C17DE8">
      <w:pPr>
        <w:pStyle w:val="ListParagraph"/>
        <w:numPr>
          <w:ilvl w:val="1"/>
          <w:numId w:val="6"/>
        </w:numPr>
        <w:spacing w:before="0" w:after="5" w:line="250" w:lineRule="auto"/>
        <w:ind w:right="735" w:hanging="370"/>
        <w:rPr>
          <w:sz w:val="22"/>
          <w:szCs w:val="22"/>
        </w:rPr>
      </w:pPr>
      <w:r>
        <w:rPr>
          <w:sz w:val="22"/>
          <w:szCs w:val="22"/>
        </w:rPr>
        <w:t xml:space="preserve">11-36% of new students </w:t>
      </w:r>
      <w:r w:rsidR="005C6114">
        <w:rPr>
          <w:sz w:val="22"/>
          <w:szCs w:val="22"/>
        </w:rPr>
        <w:t xml:space="preserve">did not have a career in mind for </w:t>
      </w:r>
      <w:r w:rsidR="00756C81">
        <w:rPr>
          <w:sz w:val="22"/>
          <w:szCs w:val="22"/>
        </w:rPr>
        <w:t>post-graduation</w:t>
      </w:r>
      <w:r w:rsidR="005C6114">
        <w:rPr>
          <w:sz w:val="22"/>
          <w:szCs w:val="22"/>
        </w:rPr>
        <w:t>.</w:t>
      </w:r>
      <w:r w:rsidR="00C17DE8" w:rsidRPr="00E63567">
        <w:rPr>
          <w:sz w:val="22"/>
          <w:szCs w:val="22"/>
        </w:rPr>
        <w:t xml:space="preserve"> </w:t>
      </w:r>
    </w:p>
    <w:p w14:paraId="2C4524B7" w14:textId="402BE8F7" w:rsidR="00C17DE8" w:rsidRDefault="00C17DE8" w:rsidP="00C17DE8">
      <w:pPr>
        <w:pStyle w:val="ListParagraph"/>
        <w:numPr>
          <w:ilvl w:val="1"/>
          <w:numId w:val="6"/>
        </w:numPr>
        <w:spacing w:before="0" w:after="5" w:line="250" w:lineRule="auto"/>
        <w:ind w:right="205" w:hanging="360"/>
        <w:rPr>
          <w:sz w:val="22"/>
          <w:szCs w:val="22"/>
        </w:rPr>
      </w:pPr>
      <w:r w:rsidRPr="00E63567">
        <w:rPr>
          <w:sz w:val="22"/>
          <w:szCs w:val="22"/>
        </w:rPr>
        <w:t xml:space="preserve">Returning students showed </w:t>
      </w:r>
      <w:r w:rsidR="00C81F19">
        <w:rPr>
          <w:sz w:val="22"/>
          <w:szCs w:val="22"/>
        </w:rPr>
        <w:t>a slight increase</w:t>
      </w:r>
      <w:r w:rsidR="00EB11E4">
        <w:rPr>
          <w:sz w:val="22"/>
          <w:szCs w:val="22"/>
        </w:rPr>
        <w:t xml:space="preserve"> in</w:t>
      </w:r>
      <w:r w:rsidR="00C81F19">
        <w:rPr>
          <w:sz w:val="22"/>
          <w:szCs w:val="22"/>
        </w:rPr>
        <w:t xml:space="preserve"> the percentage who had a career in mind.</w:t>
      </w:r>
    </w:p>
    <w:p w14:paraId="6F95196E" w14:textId="5D233FF4" w:rsidR="00C81F19" w:rsidRPr="00E63567" w:rsidRDefault="000A1894" w:rsidP="00C17DE8">
      <w:pPr>
        <w:pStyle w:val="ListParagraph"/>
        <w:numPr>
          <w:ilvl w:val="1"/>
          <w:numId w:val="6"/>
        </w:numPr>
        <w:spacing w:before="0" w:after="5" w:line="250" w:lineRule="auto"/>
        <w:ind w:right="205" w:hanging="360"/>
        <w:rPr>
          <w:sz w:val="22"/>
          <w:szCs w:val="22"/>
        </w:rPr>
      </w:pPr>
      <w:r>
        <w:rPr>
          <w:sz w:val="22"/>
          <w:szCs w:val="22"/>
        </w:rPr>
        <w:t>Data hints at the potential benefits of recent interventions with regard to career planning though</w:t>
      </w:r>
      <w:r w:rsidR="00756C81">
        <w:rPr>
          <w:sz w:val="22"/>
          <w:szCs w:val="22"/>
        </w:rPr>
        <w:t xml:space="preserve"> only slight increases in students identifying careers suggests more can be done.</w:t>
      </w:r>
    </w:p>
    <w:p w14:paraId="604C5106" w14:textId="1288BA9C" w:rsidR="001D7A6E" w:rsidRDefault="001D7A6E" w:rsidP="001D7A6E">
      <w:pPr>
        <w:spacing w:after="111"/>
      </w:pPr>
    </w:p>
    <w:p w14:paraId="37164A01" w14:textId="14052039" w:rsidR="00C17DE8" w:rsidRDefault="00D53885" w:rsidP="001D7A6E">
      <w:pPr>
        <w:spacing w:after="111"/>
      </w:pPr>
      <w:r w:rsidRPr="00D53885">
        <w:rPr>
          <w:noProof/>
          <w:sz w:val="24"/>
        </w:rPr>
        <w:lastRenderedPageBreak/>
        <w:drawing>
          <wp:inline distT="0" distB="0" distL="0" distR="0" wp14:anchorId="23B1EA19" wp14:editId="5238C2CC">
            <wp:extent cx="5652454" cy="3586038"/>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1271"/>
                    <a:stretch/>
                  </pic:blipFill>
                  <pic:spPr bwMode="auto">
                    <a:xfrm>
                      <a:off x="0" y="0"/>
                      <a:ext cx="5670883" cy="3597729"/>
                    </a:xfrm>
                    <a:prstGeom prst="rect">
                      <a:avLst/>
                    </a:prstGeom>
                    <a:ln>
                      <a:noFill/>
                    </a:ln>
                    <a:extLst>
                      <a:ext uri="{53640926-AAD7-44D8-BBD7-CCE9431645EC}">
                        <a14:shadowObscured xmlns:a14="http://schemas.microsoft.com/office/drawing/2010/main"/>
                      </a:ext>
                    </a:extLst>
                  </pic:spPr>
                </pic:pic>
              </a:graphicData>
            </a:graphic>
          </wp:inline>
        </w:drawing>
      </w:r>
      <w:r w:rsidR="00C17DE8">
        <w:rPr>
          <w:sz w:val="24"/>
        </w:rPr>
        <w:t xml:space="preserve"> </w:t>
      </w:r>
    </w:p>
    <w:p w14:paraId="6D21D3F7" w14:textId="09BA72B0" w:rsidR="00C17DE8" w:rsidRDefault="00C17DE8">
      <w:pPr>
        <w:spacing w:after="155" w:line="240" w:lineRule="auto"/>
        <w:ind w:left="-5" w:right="129" w:hanging="10"/>
      </w:pPr>
      <w:r>
        <w:rPr>
          <w:i/>
          <w:sz w:val="20"/>
        </w:rPr>
        <w:t xml:space="preserve">Fig. 4: Programme specific breakdown of student choice of career readiness statement for new students. Choice of statement is given as % of respondents for each programme. </w:t>
      </w:r>
    </w:p>
    <w:p w14:paraId="52E7BABF" w14:textId="77777777" w:rsidR="00467865" w:rsidRDefault="00C17DE8" w:rsidP="00467865">
      <w:pPr>
        <w:spacing w:after="0"/>
      </w:pPr>
      <w:r>
        <w:rPr>
          <w:sz w:val="24"/>
        </w:rPr>
        <w:t xml:space="preserve"> </w:t>
      </w:r>
    </w:p>
    <w:p w14:paraId="79F8F479" w14:textId="02843DD2" w:rsidR="00C17DE8" w:rsidRDefault="00467865" w:rsidP="00467865">
      <w:pPr>
        <w:spacing w:after="0"/>
      </w:pPr>
      <w:r>
        <w:rPr>
          <w:noProof/>
        </w:rPr>
        <w:drawing>
          <wp:inline distT="0" distB="0" distL="0" distR="0" wp14:anchorId="3FBA0C6E" wp14:editId="33E287C7">
            <wp:extent cx="6064968" cy="31648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5815" cy="3170475"/>
                    </a:xfrm>
                    <a:prstGeom prst="rect">
                      <a:avLst/>
                    </a:prstGeom>
                    <a:noFill/>
                  </pic:spPr>
                </pic:pic>
              </a:graphicData>
            </a:graphic>
          </wp:inline>
        </w:drawing>
      </w:r>
    </w:p>
    <w:p w14:paraId="5EC7C017" w14:textId="77777777" w:rsidR="00C17DE8" w:rsidRPr="00190526" w:rsidRDefault="00C17DE8">
      <w:pPr>
        <w:spacing w:after="155" w:line="240" w:lineRule="auto"/>
        <w:ind w:left="-5" w:right="129" w:hanging="10"/>
        <w:rPr>
          <w:i/>
          <w:sz w:val="8"/>
          <w:szCs w:val="8"/>
        </w:rPr>
      </w:pPr>
    </w:p>
    <w:p w14:paraId="30210F31" w14:textId="1E56F9D0" w:rsidR="00C17DE8" w:rsidRDefault="00C17DE8">
      <w:pPr>
        <w:spacing w:after="155" w:line="240" w:lineRule="auto"/>
        <w:ind w:left="-5" w:right="129" w:hanging="10"/>
      </w:pPr>
      <w:r>
        <w:rPr>
          <w:i/>
          <w:sz w:val="20"/>
        </w:rPr>
        <w:t>Fig. 5: Programme specific breakdown of student choice of career readiness statement for returning students. Choice of statement is given as % of respondents for each programme.</w:t>
      </w:r>
    </w:p>
    <w:p w14:paraId="541695C2" w14:textId="77777777" w:rsidR="00C17DE8" w:rsidRDefault="00C17DE8">
      <w:pPr>
        <w:pStyle w:val="Heading1"/>
        <w:ind w:left="-5"/>
      </w:pPr>
      <w:r>
        <w:t xml:space="preserve">Activities </w:t>
      </w:r>
    </w:p>
    <w:p w14:paraId="017C10C4" w14:textId="09668264" w:rsidR="00C17DE8" w:rsidRDefault="00C17DE8">
      <w:pPr>
        <w:spacing w:after="110"/>
        <w:ind w:right="205"/>
      </w:pPr>
      <w:r>
        <w:t>Activities within the</w:t>
      </w:r>
      <w:r w:rsidR="00066FAB">
        <w:t xml:space="preserve"> institution and</w:t>
      </w:r>
      <w:r>
        <w:t xml:space="preserve"> school were provided by Student Advancement or within each of the programmes. </w:t>
      </w:r>
    </w:p>
    <w:p w14:paraId="6B25D571" w14:textId="77777777" w:rsidR="00C17DE8" w:rsidRDefault="00C17DE8">
      <w:pPr>
        <w:pStyle w:val="Heading2"/>
        <w:ind w:left="-5"/>
      </w:pPr>
      <w:r>
        <w:lastRenderedPageBreak/>
        <w:t xml:space="preserve">Student Advancement Activities </w:t>
      </w:r>
    </w:p>
    <w:p w14:paraId="257A3B03" w14:textId="07B01CBF" w:rsidR="00C17DE8" w:rsidRDefault="00C17DE8">
      <w:pPr>
        <w:spacing w:after="126"/>
        <w:ind w:right="205"/>
      </w:pPr>
      <w:r>
        <w:t>Activities and sessions</w:t>
      </w:r>
      <w:r w:rsidR="005700B5">
        <w:t xml:space="preserve"> and support</w:t>
      </w:r>
      <w:r>
        <w:t xml:space="preserve"> provided by Student advancement took </w:t>
      </w:r>
      <w:r w:rsidR="00533454">
        <w:t xml:space="preserve">place in </w:t>
      </w:r>
      <w:r>
        <w:t xml:space="preserve">the form of </w:t>
      </w:r>
      <w:r w:rsidR="00066FAB">
        <w:t xml:space="preserve">in-person, </w:t>
      </w:r>
      <w:r>
        <w:t>online</w:t>
      </w:r>
      <w:r w:rsidR="00066FAB">
        <w:t xml:space="preserve"> events</w:t>
      </w:r>
      <w:r>
        <w:t>, online resources, and 1:1 appointments</w:t>
      </w:r>
      <w:r w:rsidR="00D24EE3">
        <w:t>.</w:t>
      </w:r>
    </w:p>
    <w:p w14:paraId="769E328E" w14:textId="33BBFBCA" w:rsidR="00DE7219" w:rsidRDefault="00DE7219" w:rsidP="00C17DE8">
      <w:pPr>
        <w:pStyle w:val="ListParagraph"/>
        <w:numPr>
          <w:ilvl w:val="0"/>
          <w:numId w:val="13"/>
        </w:numPr>
        <w:spacing w:before="0" w:line="259" w:lineRule="auto"/>
        <w:ind w:right="205"/>
        <w:rPr>
          <w:sz w:val="22"/>
          <w:szCs w:val="22"/>
        </w:rPr>
      </w:pPr>
      <w:r>
        <w:rPr>
          <w:sz w:val="22"/>
          <w:szCs w:val="22"/>
        </w:rPr>
        <w:t xml:space="preserve">Use of Careers Zone 24/7 continues to be encouraged and </w:t>
      </w:r>
      <w:r w:rsidR="00C314B7">
        <w:rPr>
          <w:sz w:val="22"/>
          <w:szCs w:val="22"/>
        </w:rPr>
        <w:t>utilised to build employability and careers skills, as well as offer job listings.</w:t>
      </w:r>
    </w:p>
    <w:p w14:paraId="4DB7387E" w14:textId="1E6DAECD" w:rsidR="00D83E30" w:rsidRDefault="00D83E30" w:rsidP="00C17DE8">
      <w:pPr>
        <w:pStyle w:val="ListParagraph"/>
        <w:numPr>
          <w:ilvl w:val="0"/>
          <w:numId w:val="13"/>
        </w:numPr>
        <w:spacing w:before="0" w:line="259" w:lineRule="auto"/>
        <w:ind w:right="205"/>
        <w:rPr>
          <w:sz w:val="22"/>
          <w:szCs w:val="22"/>
        </w:rPr>
      </w:pPr>
      <w:r>
        <w:rPr>
          <w:sz w:val="22"/>
          <w:szCs w:val="22"/>
        </w:rPr>
        <w:t xml:space="preserve">Creation of LJMU Connect to </w:t>
      </w:r>
      <w:r w:rsidR="00805D4F">
        <w:rPr>
          <w:sz w:val="22"/>
          <w:szCs w:val="22"/>
        </w:rPr>
        <w:t>encourage networking between alumni and encourage mentoring of current students</w:t>
      </w:r>
    </w:p>
    <w:p w14:paraId="70D7BBA5" w14:textId="5CEE68BF" w:rsidR="004703E5" w:rsidRDefault="004703E5" w:rsidP="00C17DE8">
      <w:pPr>
        <w:pStyle w:val="ListParagraph"/>
        <w:numPr>
          <w:ilvl w:val="0"/>
          <w:numId w:val="13"/>
        </w:numPr>
        <w:spacing w:before="0" w:line="259" w:lineRule="auto"/>
        <w:ind w:right="205"/>
        <w:rPr>
          <w:sz w:val="22"/>
          <w:szCs w:val="22"/>
        </w:rPr>
      </w:pPr>
      <w:r>
        <w:rPr>
          <w:sz w:val="22"/>
          <w:szCs w:val="22"/>
        </w:rPr>
        <w:t xml:space="preserve">Specific careers support </w:t>
      </w:r>
      <w:r w:rsidRPr="004703E5">
        <w:rPr>
          <w:sz w:val="22"/>
          <w:szCs w:val="22"/>
        </w:rPr>
        <w:t>for students with autism or any social / communication disorder</w:t>
      </w:r>
    </w:p>
    <w:p w14:paraId="2A54B0A7" w14:textId="28FF2969" w:rsidR="00742663" w:rsidRDefault="00C17DE8" w:rsidP="00742663">
      <w:pPr>
        <w:pStyle w:val="ListParagraph"/>
        <w:numPr>
          <w:ilvl w:val="0"/>
          <w:numId w:val="13"/>
        </w:numPr>
        <w:spacing w:before="0" w:line="259" w:lineRule="auto"/>
        <w:ind w:right="205"/>
        <w:rPr>
          <w:sz w:val="22"/>
          <w:szCs w:val="22"/>
        </w:rPr>
      </w:pPr>
      <w:r w:rsidRPr="00E63567">
        <w:rPr>
          <w:sz w:val="22"/>
          <w:szCs w:val="22"/>
        </w:rPr>
        <w:t xml:space="preserve">There were several webinars and </w:t>
      </w:r>
      <w:r w:rsidR="005B7E92">
        <w:rPr>
          <w:sz w:val="22"/>
          <w:szCs w:val="22"/>
        </w:rPr>
        <w:t xml:space="preserve">employer events and </w:t>
      </w:r>
      <w:r w:rsidRPr="00E63567">
        <w:rPr>
          <w:sz w:val="22"/>
          <w:szCs w:val="22"/>
        </w:rPr>
        <w:t xml:space="preserve">careers fairs provided for the students </w:t>
      </w:r>
      <w:r w:rsidR="00C314B7">
        <w:rPr>
          <w:sz w:val="22"/>
          <w:szCs w:val="22"/>
        </w:rPr>
        <w:t>within the institution</w:t>
      </w:r>
      <w:r w:rsidR="00742663">
        <w:rPr>
          <w:sz w:val="22"/>
          <w:szCs w:val="22"/>
        </w:rPr>
        <w:t>.</w:t>
      </w:r>
    </w:p>
    <w:p w14:paraId="226AEF05" w14:textId="01CA0141" w:rsidR="00C13998" w:rsidRDefault="00E17458" w:rsidP="00742663">
      <w:pPr>
        <w:pStyle w:val="ListParagraph"/>
        <w:numPr>
          <w:ilvl w:val="1"/>
          <w:numId w:val="13"/>
        </w:numPr>
        <w:spacing w:before="0" w:line="259" w:lineRule="auto"/>
        <w:ind w:right="205"/>
        <w:rPr>
          <w:sz w:val="22"/>
          <w:szCs w:val="22"/>
        </w:rPr>
      </w:pPr>
      <w:r>
        <w:rPr>
          <w:sz w:val="22"/>
          <w:szCs w:val="22"/>
        </w:rPr>
        <w:t>Employer</w:t>
      </w:r>
      <w:r w:rsidR="004A0C49">
        <w:rPr>
          <w:sz w:val="22"/>
          <w:szCs w:val="22"/>
        </w:rPr>
        <w:t>,</w:t>
      </w:r>
      <w:r>
        <w:rPr>
          <w:sz w:val="22"/>
          <w:szCs w:val="22"/>
        </w:rPr>
        <w:t xml:space="preserve"> </w:t>
      </w:r>
      <w:r w:rsidR="005B7E92">
        <w:rPr>
          <w:sz w:val="22"/>
          <w:szCs w:val="22"/>
        </w:rPr>
        <w:t>careers</w:t>
      </w:r>
      <w:r w:rsidR="004A0C49">
        <w:rPr>
          <w:sz w:val="22"/>
          <w:szCs w:val="22"/>
        </w:rPr>
        <w:t xml:space="preserve"> and skills</w:t>
      </w:r>
      <w:r w:rsidR="005B7E92">
        <w:rPr>
          <w:sz w:val="22"/>
          <w:szCs w:val="22"/>
        </w:rPr>
        <w:t xml:space="preserve"> </w:t>
      </w:r>
      <w:r w:rsidR="002A4277">
        <w:rPr>
          <w:sz w:val="22"/>
          <w:szCs w:val="22"/>
        </w:rPr>
        <w:t>events</w:t>
      </w:r>
      <w:r w:rsidR="007A7F61">
        <w:rPr>
          <w:sz w:val="22"/>
          <w:szCs w:val="22"/>
        </w:rPr>
        <w:t>. E.g.</w:t>
      </w:r>
      <w:r>
        <w:rPr>
          <w:sz w:val="22"/>
          <w:szCs w:val="22"/>
        </w:rPr>
        <w:t xml:space="preserve"> </w:t>
      </w:r>
      <w:r w:rsidR="00AE49D3" w:rsidRPr="00AE49D3">
        <w:rPr>
          <w:sz w:val="22"/>
          <w:szCs w:val="22"/>
        </w:rPr>
        <w:t>Maximising LinkedIn for your career</w:t>
      </w:r>
      <w:r w:rsidR="00AE49D3">
        <w:rPr>
          <w:sz w:val="22"/>
          <w:szCs w:val="22"/>
        </w:rPr>
        <w:t xml:space="preserve">, </w:t>
      </w:r>
      <w:r w:rsidR="004A0C49">
        <w:rPr>
          <w:sz w:val="22"/>
          <w:szCs w:val="22"/>
        </w:rPr>
        <w:t xml:space="preserve">a </w:t>
      </w:r>
      <w:r w:rsidR="00FD0237">
        <w:rPr>
          <w:sz w:val="22"/>
          <w:szCs w:val="22"/>
        </w:rPr>
        <w:t>careers event for those interested in working in</w:t>
      </w:r>
      <w:r w:rsidR="00FD0237" w:rsidRPr="00FD0237">
        <w:t xml:space="preserve"> </w:t>
      </w:r>
      <w:r w:rsidR="00FD0237" w:rsidRPr="00FD0237">
        <w:rPr>
          <w:sz w:val="22"/>
          <w:szCs w:val="22"/>
        </w:rPr>
        <w:t>micro, small and medium-sized businesses</w:t>
      </w:r>
      <w:r w:rsidR="00FD0237">
        <w:rPr>
          <w:sz w:val="22"/>
          <w:szCs w:val="22"/>
        </w:rPr>
        <w:t xml:space="preserve">, </w:t>
      </w:r>
      <w:r w:rsidR="004A0C49" w:rsidRPr="004A0C49">
        <w:rPr>
          <w:sz w:val="22"/>
          <w:szCs w:val="22"/>
        </w:rPr>
        <w:t>Graduate &amp; Placement Recruitment Fair</w:t>
      </w:r>
      <w:r w:rsidR="004A0C49">
        <w:rPr>
          <w:sz w:val="22"/>
          <w:szCs w:val="22"/>
        </w:rPr>
        <w:t>.</w:t>
      </w:r>
    </w:p>
    <w:p w14:paraId="5047CB76" w14:textId="2F21C905" w:rsidR="00B136C9" w:rsidRDefault="00742663" w:rsidP="00C13998">
      <w:pPr>
        <w:pStyle w:val="ListParagraph"/>
        <w:numPr>
          <w:ilvl w:val="1"/>
          <w:numId w:val="13"/>
        </w:numPr>
        <w:spacing w:before="0" w:line="259" w:lineRule="auto"/>
        <w:ind w:right="205"/>
        <w:rPr>
          <w:sz w:val="22"/>
          <w:szCs w:val="22"/>
        </w:rPr>
      </w:pPr>
      <w:r>
        <w:rPr>
          <w:sz w:val="22"/>
          <w:szCs w:val="22"/>
        </w:rPr>
        <w:t xml:space="preserve">Future Week: </w:t>
      </w:r>
      <w:r w:rsidR="00C13998">
        <w:rPr>
          <w:sz w:val="22"/>
          <w:szCs w:val="22"/>
        </w:rPr>
        <w:t>A week of talks, career sessions and support designed for L6 students</w:t>
      </w:r>
    </w:p>
    <w:p w14:paraId="3E2992AB" w14:textId="3144FBF2" w:rsidR="00C36A95" w:rsidRDefault="00C36A95" w:rsidP="00C13998">
      <w:pPr>
        <w:pStyle w:val="ListParagraph"/>
        <w:numPr>
          <w:ilvl w:val="1"/>
          <w:numId w:val="13"/>
        </w:numPr>
        <w:spacing w:before="0" w:line="259" w:lineRule="auto"/>
        <w:ind w:right="205"/>
        <w:rPr>
          <w:sz w:val="22"/>
          <w:szCs w:val="22"/>
        </w:rPr>
      </w:pPr>
      <w:r>
        <w:rPr>
          <w:sz w:val="22"/>
          <w:szCs w:val="22"/>
        </w:rPr>
        <w:t>Grad Cafés</w:t>
      </w:r>
      <w:r w:rsidR="005E1146">
        <w:rPr>
          <w:sz w:val="22"/>
          <w:szCs w:val="22"/>
        </w:rPr>
        <w:t xml:space="preserve"> </w:t>
      </w:r>
      <w:r w:rsidR="005E1146" w:rsidRPr="005E1146">
        <w:rPr>
          <w:sz w:val="22"/>
          <w:szCs w:val="22"/>
        </w:rPr>
        <w:t xml:space="preserve">to </w:t>
      </w:r>
      <w:r w:rsidR="005E1146">
        <w:rPr>
          <w:sz w:val="22"/>
          <w:szCs w:val="22"/>
        </w:rPr>
        <w:t>help students s</w:t>
      </w:r>
      <w:r w:rsidR="005E1146" w:rsidRPr="005E1146">
        <w:rPr>
          <w:sz w:val="22"/>
          <w:szCs w:val="22"/>
        </w:rPr>
        <w:t xml:space="preserve">tay </w:t>
      </w:r>
      <w:r w:rsidR="005E1146">
        <w:rPr>
          <w:sz w:val="22"/>
          <w:szCs w:val="22"/>
        </w:rPr>
        <w:t>c</w:t>
      </w:r>
      <w:r w:rsidR="005E1146" w:rsidRPr="005E1146">
        <w:rPr>
          <w:sz w:val="22"/>
          <w:szCs w:val="22"/>
        </w:rPr>
        <w:t xml:space="preserve">onnected and help </w:t>
      </w:r>
      <w:r w:rsidR="005E1146">
        <w:rPr>
          <w:sz w:val="22"/>
          <w:szCs w:val="22"/>
        </w:rPr>
        <w:t>them</w:t>
      </w:r>
      <w:r w:rsidR="005E1146" w:rsidRPr="005E1146">
        <w:rPr>
          <w:sz w:val="22"/>
          <w:szCs w:val="22"/>
        </w:rPr>
        <w:t xml:space="preserve"> with </w:t>
      </w:r>
      <w:r w:rsidR="005E1146">
        <w:rPr>
          <w:sz w:val="22"/>
          <w:szCs w:val="22"/>
        </w:rPr>
        <w:t>their</w:t>
      </w:r>
      <w:r w:rsidR="005E1146" w:rsidRPr="005E1146">
        <w:rPr>
          <w:sz w:val="22"/>
          <w:szCs w:val="22"/>
        </w:rPr>
        <w:t xml:space="preserve"> next steps</w:t>
      </w:r>
    </w:p>
    <w:p w14:paraId="71D57D48" w14:textId="138A0AE8" w:rsidR="005B7E92" w:rsidRDefault="005B7E92" w:rsidP="00C13998">
      <w:pPr>
        <w:pStyle w:val="ListParagraph"/>
        <w:numPr>
          <w:ilvl w:val="1"/>
          <w:numId w:val="13"/>
        </w:numPr>
        <w:spacing w:before="0" w:line="259" w:lineRule="auto"/>
        <w:ind w:right="205"/>
        <w:rPr>
          <w:sz w:val="22"/>
          <w:szCs w:val="22"/>
        </w:rPr>
      </w:pPr>
      <w:r w:rsidRPr="005B7E92">
        <w:rPr>
          <w:sz w:val="22"/>
          <w:szCs w:val="22"/>
        </w:rPr>
        <w:t>LJMU Get into Teaching event</w:t>
      </w:r>
      <w:r w:rsidR="004A0C49">
        <w:rPr>
          <w:sz w:val="22"/>
          <w:szCs w:val="22"/>
        </w:rPr>
        <w:t>s</w:t>
      </w:r>
    </w:p>
    <w:p w14:paraId="2519A9AE" w14:textId="11E97AAF" w:rsidR="006F79B7" w:rsidRDefault="00E17458" w:rsidP="00C17DE8">
      <w:pPr>
        <w:pStyle w:val="ListParagraph"/>
        <w:numPr>
          <w:ilvl w:val="0"/>
          <w:numId w:val="13"/>
        </w:numPr>
        <w:spacing w:before="0" w:line="259" w:lineRule="auto"/>
        <w:ind w:right="205"/>
        <w:rPr>
          <w:sz w:val="22"/>
          <w:szCs w:val="22"/>
        </w:rPr>
      </w:pPr>
      <w:r w:rsidRPr="006F79B7">
        <w:rPr>
          <w:sz w:val="22"/>
          <w:szCs w:val="22"/>
        </w:rPr>
        <w:t>Faculty</w:t>
      </w:r>
      <w:r w:rsidR="002A4277">
        <w:rPr>
          <w:sz w:val="22"/>
          <w:szCs w:val="22"/>
        </w:rPr>
        <w:t xml:space="preserve"> and school level</w:t>
      </w:r>
    </w:p>
    <w:p w14:paraId="18952C7D" w14:textId="1C520E87" w:rsidR="00835FE9" w:rsidRPr="00835FE9" w:rsidRDefault="006F79B7" w:rsidP="004A0C49">
      <w:pPr>
        <w:pStyle w:val="ListParagraph"/>
        <w:numPr>
          <w:ilvl w:val="1"/>
          <w:numId w:val="13"/>
        </w:numPr>
        <w:spacing w:before="0" w:line="259" w:lineRule="auto"/>
        <w:ind w:left="1440" w:right="205"/>
      </w:pPr>
      <w:r>
        <w:rPr>
          <w:sz w:val="22"/>
          <w:szCs w:val="22"/>
        </w:rPr>
        <w:t>A</w:t>
      </w:r>
      <w:r w:rsidRPr="00E63567">
        <w:rPr>
          <w:sz w:val="22"/>
          <w:szCs w:val="22"/>
        </w:rPr>
        <w:t xml:space="preserve">ctivities included: </w:t>
      </w:r>
      <w:r w:rsidR="00EF011E">
        <w:rPr>
          <w:sz w:val="22"/>
          <w:szCs w:val="22"/>
        </w:rPr>
        <w:t xml:space="preserve">a </w:t>
      </w:r>
      <w:r>
        <w:rPr>
          <w:sz w:val="22"/>
          <w:szCs w:val="22"/>
        </w:rPr>
        <w:t>workshop on applying for graduate level medicine; a working in forensics event</w:t>
      </w:r>
      <w:r w:rsidR="00EF011E">
        <w:rPr>
          <w:sz w:val="22"/>
          <w:szCs w:val="22"/>
        </w:rPr>
        <w:t>, an employer event on working in the cosmetics industry</w:t>
      </w:r>
      <w:r w:rsidR="004A0C49">
        <w:rPr>
          <w:sz w:val="22"/>
          <w:szCs w:val="22"/>
        </w:rPr>
        <w:t>; webinar on the</w:t>
      </w:r>
      <w:r w:rsidR="004A0C49" w:rsidRPr="004A0C49">
        <w:rPr>
          <w:sz w:val="22"/>
          <w:szCs w:val="22"/>
        </w:rPr>
        <w:t xml:space="preserve"> </w:t>
      </w:r>
      <w:r w:rsidR="004A0C49" w:rsidRPr="007A7F61">
        <w:rPr>
          <w:sz w:val="22"/>
          <w:szCs w:val="22"/>
        </w:rPr>
        <w:t>Scientist Training Programme (STP)</w:t>
      </w:r>
    </w:p>
    <w:p w14:paraId="18A3A439" w14:textId="648F3F17" w:rsidR="00D24EE3" w:rsidRPr="006F79B7" w:rsidRDefault="00B136C9" w:rsidP="00C17DE8">
      <w:pPr>
        <w:pStyle w:val="ListParagraph"/>
        <w:numPr>
          <w:ilvl w:val="0"/>
          <w:numId w:val="13"/>
        </w:numPr>
        <w:spacing w:before="0" w:line="259" w:lineRule="auto"/>
        <w:ind w:right="205"/>
        <w:rPr>
          <w:sz w:val="22"/>
          <w:szCs w:val="22"/>
        </w:rPr>
      </w:pPr>
      <w:r w:rsidRPr="006F79B7">
        <w:rPr>
          <w:sz w:val="22"/>
          <w:szCs w:val="22"/>
        </w:rPr>
        <w:t>Programme level</w:t>
      </w:r>
    </w:p>
    <w:p w14:paraId="1D74033F" w14:textId="1C8C33FD" w:rsidR="00B136C9" w:rsidRDefault="00B136C9" w:rsidP="00B136C9">
      <w:pPr>
        <w:pStyle w:val="ListParagraph"/>
        <w:numPr>
          <w:ilvl w:val="1"/>
          <w:numId w:val="13"/>
        </w:numPr>
        <w:spacing w:before="0" w:line="259" w:lineRule="auto"/>
        <w:ind w:right="205"/>
        <w:rPr>
          <w:sz w:val="22"/>
          <w:szCs w:val="22"/>
        </w:rPr>
      </w:pPr>
      <w:r w:rsidRPr="00E63567">
        <w:rPr>
          <w:sz w:val="22"/>
          <w:szCs w:val="22"/>
        </w:rPr>
        <w:t xml:space="preserve">There was intervention with the programmes </w:t>
      </w:r>
      <w:r w:rsidR="006F79B7">
        <w:rPr>
          <w:sz w:val="22"/>
          <w:szCs w:val="22"/>
        </w:rPr>
        <w:t>in all programmes in L4 through</w:t>
      </w:r>
      <w:r w:rsidRPr="00E63567">
        <w:rPr>
          <w:sz w:val="22"/>
          <w:szCs w:val="22"/>
        </w:rPr>
        <w:t xml:space="preserve"> </w:t>
      </w:r>
      <w:r w:rsidR="00805D4F">
        <w:rPr>
          <w:sz w:val="22"/>
          <w:szCs w:val="22"/>
        </w:rPr>
        <w:t>Future Focus</w:t>
      </w:r>
    </w:p>
    <w:p w14:paraId="49B340EF" w14:textId="2102199B" w:rsidR="0023677E" w:rsidRDefault="0023677E" w:rsidP="00B136C9">
      <w:pPr>
        <w:pStyle w:val="ListParagraph"/>
        <w:numPr>
          <w:ilvl w:val="1"/>
          <w:numId w:val="13"/>
        </w:numPr>
        <w:spacing w:before="0" w:line="259" w:lineRule="auto"/>
        <w:ind w:right="205"/>
        <w:rPr>
          <w:sz w:val="22"/>
          <w:szCs w:val="22"/>
        </w:rPr>
      </w:pPr>
      <w:r>
        <w:rPr>
          <w:sz w:val="22"/>
          <w:szCs w:val="22"/>
        </w:rPr>
        <w:t>Specific programme interventions</w:t>
      </w:r>
      <w:r w:rsidR="00EA5457">
        <w:rPr>
          <w:sz w:val="22"/>
          <w:szCs w:val="22"/>
        </w:rPr>
        <w:t xml:space="preserve"> from the Student Futures team e.g. </w:t>
      </w:r>
      <w:r w:rsidR="00C35C98">
        <w:rPr>
          <w:sz w:val="22"/>
          <w:szCs w:val="22"/>
        </w:rPr>
        <w:t>in the Biosciences module 5201NATSCI.</w:t>
      </w:r>
    </w:p>
    <w:p w14:paraId="4CF10194" w14:textId="3C344F2B" w:rsidR="00B975D0" w:rsidRPr="00E63567" w:rsidRDefault="004B1762" w:rsidP="00B136C9">
      <w:pPr>
        <w:pStyle w:val="ListParagraph"/>
        <w:numPr>
          <w:ilvl w:val="1"/>
          <w:numId w:val="13"/>
        </w:numPr>
        <w:spacing w:before="0" w:line="259" w:lineRule="auto"/>
        <w:ind w:right="205"/>
        <w:rPr>
          <w:sz w:val="22"/>
          <w:szCs w:val="22"/>
        </w:rPr>
      </w:pPr>
      <w:r>
        <w:rPr>
          <w:sz w:val="22"/>
          <w:szCs w:val="22"/>
        </w:rPr>
        <w:t xml:space="preserve">Employer and alumni events for Climate Change, Forensic Anthropology, </w:t>
      </w:r>
      <w:r w:rsidR="003A6292">
        <w:rPr>
          <w:sz w:val="22"/>
          <w:szCs w:val="22"/>
        </w:rPr>
        <w:t>Geography, and Wildlife Conservation organised by programme teams, Laura Aldridge, and Lisa</w:t>
      </w:r>
      <w:r w:rsidR="003E2E83">
        <w:rPr>
          <w:sz w:val="22"/>
          <w:szCs w:val="22"/>
        </w:rPr>
        <w:t xml:space="preserve"> OFarrel.</w:t>
      </w:r>
    </w:p>
    <w:p w14:paraId="38C2DF11" w14:textId="0CA79292" w:rsidR="00C17DE8" w:rsidRPr="00012025" w:rsidRDefault="00C17DE8">
      <w:pPr>
        <w:pStyle w:val="Heading1"/>
        <w:rPr>
          <w:szCs w:val="22"/>
        </w:rPr>
      </w:pPr>
      <w:r w:rsidRPr="00012025">
        <w:rPr>
          <w:i/>
          <w:szCs w:val="22"/>
        </w:rPr>
        <w:t>Placements</w:t>
      </w:r>
    </w:p>
    <w:p w14:paraId="26F46844" w14:textId="7992CC96" w:rsidR="00C17DE8" w:rsidRPr="00012025" w:rsidRDefault="00C17DE8">
      <w:pPr>
        <w:spacing w:after="127"/>
        <w:ind w:left="10" w:right="258" w:hanging="10"/>
      </w:pPr>
      <w:r w:rsidRPr="00012025">
        <w:t>A total of 13 BES students undertook a sandwich year and 10</w:t>
      </w:r>
      <w:r w:rsidR="007B03FA">
        <w:t xml:space="preserve"> undertook </w:t>
      </w:r>
      <w:r w:rsidRPr="00012025">
        <w:t xml:space="preserve">work-based learning between L5 and L6. </w:t>
      </w:r>
    </w:p>
    <w:p w14:paraId="0950D16C" w14:textId="63DFE0E6" w:rsidR="00C17DE8" w:rsidRPr="00012025" w:rsidRDefault="00C17DE8" w:rsidP="00C17DE8">
      <w:pPr>
        <w:numPr>
          <w:ilvl w:val="0"/>
          <w:numId w:val="8"/>
        </w:numPr>
        <w:spacing w:after="5" w:line="250" w:lineRule="auto"/>
        <w:ind w:right="258" w:hanging="360"/>
      </w:pPr>
      <w:r w:rsidRPr="00012025">
        <w:t xml:space="preserve">Numbers are </w:t>
      </w:r>
      <w:r w:rsidR="00E30438">
        <w:t xml:space="preserve">stable </w:t>
      </w:r>
      <w:r w:rsidR="00C52582">
        <w:t>compared to academic year</w:t>
      </w:r>
      <w:r w:rsidRPr="00012025">
        <w:t xml:space="preserve"> </w:t>
      </w:r>
      <w:r w:rsidR="00C52582">
        <w:t>2020-2021.</w:t>
      </w:r>
    </w:p>
    <w:p w14:paraId="7C7ED21B" w14:textId="6240D00E" w:rsidR="00C17DE8" w:rsidRPr="00012025" w:rsidRDefault="003E209D" w:rsidP="00C17DE8">
      <w:pPr>
        <w:numPr>
          <w:ilvl w:val="0"/>
          <w:numId w:val="8"/>
        </w:numPr>
        <w:spacing w:after="5" w:line="250" w:lineRule="auto"/>
        <w:ind w:right="258" w:hanging="360"/>
      </w:pPr>
      <w:r>
        <w:t>Zoology had the largest number of students (5) taking work-based learning, and w</w:t>
      </w:r>
      <w:r w:rsidR="00C52582">
        <w:t xml:space="preserve">ildlife Conservation </w:t>
      </w:r>
      <w:r w:rsidR="00C17DE8" w:rsidRPr="00012025">
        <w:t xml:space="preserve">had the largest number of students undertaking </w:t>
      </w:r>
      <w:r w:rsidR="00C52582">
        <w:t xml:space="preserve">a sandwich </w:t>
      </w:r>
      <w:r>
        <w:t xml:space="preserve">year </w:t>
      </w:r>
      <w:r w:rsidR="00C17DE8" w:rsidRPr="00012025">
        <w:t>this year</w:t>
      </w:r>
      <w:r>
        <w:t xml:space="preserve"> (7)</w:t>
      </w:r>
      <w:r w:rsidR="00C17DE8" w:rsidRPr="00012025">
        <w:t xml:space="preserve">. </w:t>
      </w:r>
    </w:p>
    <w:p w14:paraId="5196241A" w14:textId="73AF8303" w:rsidR="008B5854" w:rsidRDefault="00C17DE8" w:rsidP="008B5854">
      <w:pPr>
        <w:numPr>
          <w:ilvl w:val="0"/>
          <w:numId w:val="8"/>
        </w:numPr>
        <w:spacing w:after="5" w:line="250" w:lineRule="auto"/>
        <w:ind w:right="258" w:hanging="360"/>
      </w:pPr>
      <w:r w:rsidRPr="00012025">
        <w:t xml:space="preserve">No students from </w:t>
      </w:r>
      <w:r w:rsidR="003E209D">
        <w:t>Biology</w:t>
      </w:r>
      <w:r w:rsidRPr="00012025">
        <w:t xml:space="preserve"> took placements. </w:t>
      </w:r>
    </w:p>
    <w:p w14:paraId="2F4E1115" w14:textId="77777777" w:rsidR="008B5854" w:rsidRDefault="008B5854" w:rsidP="008B5854">
      <w:pPr>
        <w:spacing w:after="5" w:line="250" w:lineRule="auto"/>
        <w:ind w:right="258"/>
      </w:pPr>
    </w:p>
    <w:p w14:paraId="04563D6D" w14:textId="5C4F0967" w:rsidR="00C17DE8" w:rsidRDefault="008B5854" w:rsidP="008B5854">
      <w:pPr>
        <w:spacing w:after="5" w:line="250" w:lineRule="auto"/>
        <w:ind w:right="258"/>
      </w:pPr>
      <w:r w:rsidRPr="008B5854">
        <w:rPr>
          <w:noProof/>
          <w:sz w:val="24"/>
        </w:rPr>
        <w:lastRenderedPageBreak/>
        <w:drawing>
          <wp:inline distT="0" distB="0" distL="0" distR="0" wp14:anchorId="5F28978C" wp14:editId="50058A14">
            <wp:extent cx="5263763" cy="26686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9022" cy="2671288"/>
                    </a:xfrm>
                    <a:prstGeom prst="rect">
                      <a:avLst/>
                    </a:prstGeom>
                  </pic:spPr>
                </pic:pic>
              </a:graphicData>
            </a:graphic>
          </wp:inline>
        </w:drawing>
      </w:r>
      <w:r w:rsidR="00C17DE8" w:rsidRPr="008B5854">
        <w:rPr>
          <w:sz w:val="24"/>
        </w:rPr>
        <w:t xml:space="preserve"> </w:t>
      </w:r>
    </w:p>
    <w:p w14:paraId="7B7F4062" w14:textId="274BAFBC" w:rsidR="00C17DE8" w:rsidRDefault="00C17DE8">
      <w:pPr>
        <w:spacing w:after="155" w:line="240" w:lineRule="auto"/>
        <w:ind w:left="-5" w:right="129" w:hanging="10"/>
      </w:pPr>
      <w:r>
        <w:rPr>
          <w:i/>
          <w:sz w:val="20"/>
        </w:rPr>
        <w:t xml:space="preserve">Fig. 7: </w:t>
      </w:r>
      <w:r w:rsidR="000E5DCB">
        <w:rPr>
          <w:i/>
          <w:sz w:val="20"/>
        </w:rPr>
        <w:t>P</w:t>
      </w:r>
      <w:r>
        <w:rPr>
          <w:i/>
          <w:sz w:val="20"/>
        </w:rPr>
        <w:t xml:space="preserve">lacements for each </w:t>
      </w:r>
      <w:r w:rsidR="000E5DCB">
        <w:rPr>
          <w:i/>
          <w:sz w:val="20"/>
        </w:rPr>
        <w:t xml:space="preserve">programme in </w:t>
      </w:r>
      <w:r>
        <w:rPr>
          <w:i/>
          <w:sz w:val="20"/>
        </w:rPr>
        <w:t xml:space="preserve">the School of Biological and Environmental Science for: </w:t>
      </w:r>
      <w:r w:rsidR="000E5DCB">
        <w:rPr>
          <w:i/>
          <w:sz w:val="20"/>
        </w:rPr>
        <w:t xml:space="preserve">Work-based learning (summer placement) and </w:t>
      </w:r>
      <w:r w:rsidR="00E30438">
        <w:rPr>
          <w:i/>
          <w:sz w:val="20"/>
        </w:rPr>
        <w:t>the sandwich year</w:t>
      </w:r>
      <w:r>
        <w:rPr>
          <w:i/>
          <w:sz w:val="20"/>
        </w:rPr>
        <w:t xml:space="preserve">. </w:t>
      </w:r>
      <w:r w:rsidR="00E30438">
        <w:rPr>
          <w:i/>
          <w:sz w:val="20"/>
        </w:rPr>
        <w:t>Note: Data given as numbers of students and not percentage of level.</w:t>
      </w:r>
    </w:p>
    <w:p w14:paraId="605DB8DE" w14:textId="23126D26" w:rsidR="00396FA2" w:rsidRDefault="00396FA2" w:rsidP="00396FA2">
      <w:pPr>
        <w:numPr>
          <w:ilvl w:val="0"/>
          <w:numId w:val="8"/>
        </w:numPr>
        <w:spacing w:after="5" w:line="250" w:lineRule="auto"/>
        <w:ind w:right="258" w:hanging="360"/>
      </w:pPr>
      <w:r>
        <w:t xml:space="preserve">Outside of the formal placement opportunities </w:t>
      </w:r>
      <w:r w:rsidR="00905D79">
        <w:t xml:space="preserve">Dr. Richard Webster </w:t>
      </w:r>
      <w:r>
        <w:t xml:space="preserve"> </w:t>
      </w:r>
    </w:p>
    <w:p w14:paraId="5BD5DBDF" w14:textId="77777777" w:rsidR="00C17DE8" w:rsidRDefault="00C17DE8">
      <w:pPr>
        <w:spacing w:after="79"/>
      </w:pPr>
    </w:p>
    <w:p w14:paraId="3660E5FC" w14:textId="77777777" w:rsidR="00C17DE8" w:rsidRPr="00E63567" w:rsidRDefault="00C17DE8">
      <w:pPr>
        <w:pStyle w:val="Heading2"/>
        <w:ind w:left="-5"/>
      </w:pPr>
      <w:r w:rsidRPr="00E63567">
        <w:t xml:space="preserve">Programme Activities </w:t>
      </w:r>
    </w:p>
    <w:p w14:paraId="3E63C492" w14:textId="58AB00F1" w:rsidR="00C17DE8" w:rsidRPr="00E63567" w:rsidRDefault="008267CE">
      <w:pPr>
        <w:spacing w:after="125"/>
        <w:ind w:right="205"/>
      </w:pPr>
      <w:r>
        <w:t>Current e</w:t>
      </w:r>
      <w:r w:rsidR="00C17DE8" w:rsidRPr="00E63567">
        <w:t xml:space="preserve">mployability activities within programmes occur as a combination of in module skills/activities, tutorials, and provision from the Student </w:t>
      </w:r>
      <w:r w:rsidR="00CE3211">
        <w:t>Futures</w:t>
      </w:r>
      <w:r w:rsidR="00C17DE8" w:rsidRPr="00E63567">
        <w:t xml:space="preserve"> Team. </w:t>
      </w:r>
    </w:p>
    <w:p w14:paraId="1478EE95" w14:textId="0BDD838D" w:rsidR="00C17DE8" w:rsidRPr="00E63567" w:rsidRDefault="00C17DE8" w:rsidP="00C17DE8">
      <w:pPr>
        <w:numPr>
          <w:ilvl w:val="0"/>
          <w:numId w:val="9"/>
        </w:numPr>
        <w:spacing w:after="5" w:line="250" w:lineRule="auto"/>
        <w:ind w:right="205" w:hanging="360"/>
      </w:pPr>
      <w:r w:rsidRPr="00E63567">
        <w:t>Employability Skills are embedded within each programme</w:t>
      </w:r>
      <w:r w:rsidR="00A83A04">
        <w:t xml:space="preserve"> at all levels of study</w:t>
      </w:r>
    </w:p>
    <w:p w14:paraId="16E990F9" w14:textId="5E5A3DC2" w:rsidR="00C17DE8" w:rsidRPr="00E63567" w:rsidRDefault="00C17DE8" w:rsidP="00C17DE8">
      <w:pPr>
        <w:numPr>
          <w:ilvl w:val="1"/>
          <w:numId w:val="9"/>
        </w:numPr>
        <w:spacing w:after="5" w:line="250" w:lineRule="auto"/>
        <w:ind w:right="205" w:hanging="360"/>
      </w:pPr>
      <w:r w:rsidRPr="00E63567">
        <w:t xml:space="preserve">Generic skills such as CVs, Cover Letters, Interviews are covered within core modules (usually one per year) and rely on Student </w:t>
      </w:r>
      <w:r w:rsidR="00954EA8">
        <w:t>Futures</w:t>
      </w:r>
      <w:r w:rsidRPr="00E63567">
        <w:t xml:space="preserve"> and Personal Tutor input. These skills are assessed. </w:t>
      </w:r>
    </w:p>
    <w:p w14:paraId="196B6D43" w14:textId="77777777" w:rsidR="00C17DE8" w:rsidRPr="00E63567" w:rsidRDefault="00C17DE8" w:rsidP="00C17DE8">
      <w:pPr>
        <w:numPr>
          <w:ilvl w:val="0"/>
          <w:numId w:val="9"/>
        </w:numPr>
        <w:spacing w:after="5" w:line="250" w:lineRule="auto"/>
        <w:ind w:right="205" w:hanging="360"/>
      </w:pPr>
      <w:r w:rsidRPr="00E63567">
        <w:t xml:space="preserve">Within BES, the tutorial system is central to the delivery of programme employability activities. </w:t>
      </w:r>
    </w:p>
    <w:p w14:paraId="494B5DC9" w14:textId="78C73B8C" w:rsidR="00C17DE8" w:rsidRPr="00E63567" w:rsidRDefault="00C17DE8" w:rsidP="00C17DE8">
      <w:pPr>
        <w:pStyle w:val="ListParagraph"/>
        <w:numPr>
          <w:ilvl w:val="1"/>
          <w:numId w:val="9"/>
        </w:numPr>
        <w:spacing w:before="0" w:after="5" w:line="250" w:lineRule="auto"/>
        <w:ind w:right="205" w:hanging="370"/>
        <w:rPr>
          <w:sz w:val="22"/>
          <w:szCs w:val="22"/>
        </w:rPr>
      </w:pPr>
      <w:r w:rsidRPr="00E63567">
        <w:rPr>
          <w:sz w:val="22"/>
          <w:szCs w:val="22"/>
        </w:rPr>
        <w:t>Support, guidance, and assessment on generic employability skills (CVs, Cover Letters, Interviews) in L5 and L6</w:t>
      </w:r>
      <w:r w:rsidR="00E95122">
        <w:rPr>
          <w:sz w:val="22"/>
          <w:szCs w:val="22"/>
        </w:rPr>
        <w:t>.</w:t>
      </w:r>
    </w:p>
    <w:p w14:paraId="6B59B591" w14:textId="298A4DBF" w:rsidR="00C17DE8" w:rsidRPr="00E63567" w:rsidRDefault="00C17DE8" w:rsidP="00C17DE8">
      <w:pPr>
        <w:pStyle w:val="ListParagraph"/>
        <w:numPr>
          <w:ilvl w:val="1"/>
          <w:numId w:val="9"/>
        </w:numPr>
        <w:spacing w:before="0" w:after="5" w:line="250" w:lineRule="auto"/>
        <w:ind w:right="205" w:hanging="370"/>
        <w:rPr>
          <w:sz w:val="22"/>
          <w:szCs w:val="22"/>
        </w:rPr>
      </w:pPr>
      <w:r w:rsidRPr="00E63567">
        <w:rPr>
          <w:sz w:val="22"/>
          <w:szCs w:val="22"/>
        </w:rPr>
        <w:t xml:space="preserve">In L6, tutors discussed careers plans with their tutees and identified those without future plans. These students were referred to the </w:t>
      </w:r>
      <w:r w:rsidR="003656A3">
        <w:rPr>
          <w:sz w:val="22"/>
          <w:szCs w:val="22"/>
        </w:rPr>
        <w:t>Careers and Employability Advisors</w:t>
      </w:r>
      <w:r w:rsidRPr="00E63567">
        <w:rPr>
          <w:sz w:val="22"/>
          <w:szCs w:val="22"/>
        </w:rPr>
        <w:t xml:space="preserve"> for 1:1 appointments</w:t>
      </w:r>
      <w:r w:rsidR="003656A3">
        <w:rPr>
          <w:sz w:val="22"/>
          <w:szCs w:val="22"/>
        </w:rPr>
        <w:t>.</w:t>
      </w:r>
      <w:r w:rsidRPr="00E63567">
        <w:rPr>
          <w:sz w:val="22"/>
          <w:szCs w:val="22"/>
        </w:rPr>
        <w:t xml:space="preserve"> </w:t>
      </w:r>
    </w:p>
    <w:p w14:paraId="6B977BCD" w14:textId="6D9715D9" w:rsidR="00C17DE8" w:rsidRPr="00E63567" w:rsidRDefault="00C17DE8" w:rsidP="00C17DE8">
      <w:pPr>
        <w:pStyle w:val="ListParagraph"/>
        <w:numPr>
          <w:ilvl w:val="0"/>
          <w:numId w:val="9"/>
        </w:numPr>
        <w:spacing w:before="0" w:after="5" w:line="250" w:lineRule="auto"/>
        <w:ind w:right="205" w:hanging="370"/>
        <w:rPr>
          <w:sz w:val="22"/>
          <w:szCs w:val="22"/>
        </w:rPr>
      </w:pPr>
      <w:r w:rsidRPr="00E63567">
        <w:rPr>
          <w:sz w:val="22"/>
          <w:szCs w:val="22"/>
        </w:rPr>
        <w:t>Future Focus</w:t>
      </w:r>
    </w:p>
    <w:p w14:paraId="2D7558B1" w14:textId="39D55441" w:rsidR="00C17DE8" w:rsidRDefault="00C17DE8" w:rsidP="00C17DE8">
      <w:pPr>
        <w:pStyle w:val="ListParagraph"/>
        <w:numPr>
          <w:ilvl w:val="1"/>
          <w:numId w:val="9"/>
        </w:numPr>
        <w:spacing w:before="0" w:after="5" w:line="250" w:lineRule="auto"/>
        <w:ind w:right="205" w:hanging="370"/>
        <w:rPr>
          <w:sz w:val="22"/>
          <w:szCs w:val="22"/>
        </w:rPr>
      </w:pPr>
      <w:r w:rsidRPr="00E63567">
        <w:rPr>
          <w:sz w:val="22"/>
          <w:szCs w:val="22"/>
        </w:rPr>
        <w:t>Future focus sessions and assessments are provided in all programmes at L4</w:t>
      </w:r>
      <w:r w:rsidR="003656A3">
        <w:rPr>
          <w:sz w:val="22"/>
          <w:szCs w:val="22"/>
        </w:rPr>
        <w:t>.</w:t>
      </w:r>
    </w:p>
    <w:p w14:paraId="67AF6D9B" w14:textId="3D718C93" w:rsidR="00110913" w:rsidRDefault="008C617A" w:rsidP="00110913">
      <w:pPr>
        <w:pStyle w:val="ListParagraph"/>
        <w:numPr>
          <w:ilvl w:val="0"/>
          <w:numId w:val="9"/>
        </w:numPr>
        <w:spacing w:before="0" w:after="5" w:line="250" w:lineRule="auto"/>
        <w:ind w:right="205" w:hanging="370"/>
        <w:rPr>
          <w:sz w:val="22"/>
          <w:szCs w:val="22"/>
        </w:rPr>
      </w:pPr>
      <w:r>
        <w:rPr>
          <w:sz w:val="22"/>
          <w:szCs w:val="22"/>
        </w:rPr>
        <w:t>Building a</w:t>
      </w:r>
      <w:r w:rsidR="003F1BCF">
        <w:rPr>
          <w:sz w:val="22"/>
          <w:szCs w:val="22"/>
        </w:rPr>
        <w:t xml:space="preserve"> larger</w:t>
      </w:r>
      <w:r>
        <w:rPr>
          <w:sz w:val="22"/>
          <w:szCs w:val="22"/>
        </w:rPr>
        <w:t xml:space="preserve"> </w:t>
      </w:r>
      <w:r w:rsidR="003F1BCF">
        <w:rPr>
          <w:sz w:val="22"/>
          <w:szCs w:val="22"/>
        </w:rPr>
        <w:t xml:space="preserve">alumni </w:t>
      </w:r>
      <w:r>
        <w:rPr>
          <w:sz w:val="22"/>
          <w:szCs w:val="22"/>
        </w:rPr>
        <w:t>network</w:t>
      </w:r>
      <w:r w:rsidR="003F1BCF">
        <w:rPr>
          <w:sz w:val="22"/>
          <w:szCs w:val="22"/>
        </w:rPr>
        <w:t>.</w:t>
      </w:r>
    </w:p>
    <w:p w14:paraId="189EF2E4" w14:textId="0E4458D5" w:rsidR="00B0501F" w:rsidRDefault="008C617A" w:rsidP="008C617A">
      <w:pPr>
        <w:pStyle w:val="ListParagraph"/>
        <w:numPr>
          <w:ilvl w:val="1"/>
          <w:numId w:val="9"/>
        </w:numPr>
        <w:spacing w:before="0" w:after="5" w:line="250" w:lineRule="auto"/>
        <w:ind w:right="205" w:hanging="370"/>
        <w:rPr>
          <w:sz w:val="22"/>
          <w:szCs w:val="22"/>
        </w:rPr>
      </w:pPr>
      <w:r>
        <w:rPr>
          <w:sz w:val="22"/>
          <w:szCs w:val="22"/>
        </w:rPr>
        <w:t xml:space="preserve">Programme teams have been </w:t>
      </w:r>
      <w:r w:rsidR="00AA7239">
        <w:rPr>
          <w:sz w:val="22"/>
          <w:szCs w:val="22"/>
        </w:rPr>
        <w:t xml:space="preserve">active in encouraging graduating students to remain as part of an alumni network. L6 students have been </w:t>
      </w:r>
      <w:r w:rsidR="008D0E72">
        <w:rPr>
          <w:sz w:val="22"/>
          <w:szCs w:val="22"/>
        </w:rPr>
        <w:t xml:space="preserve">provided with the opportunity to </w:t>
      </w:r>
      <w:r w:rsidR="00B0501F">
        <w:rPr>
          <w:sz w:val="22"/>
          <w:szCs w:val="22"/>
        </w:rPr>
        <w:t>link with programme teams on LinkedIn or join Career Opportunity mailing lists (e.g. Animal Behaviour)</w:t>
      </w:r>
      <w:r w:rsidR="00E95122">
        <w:rPr>
          <w:sz w:val="22"/>
          <w:szCs w:val="22"/>
        </w:rPr>
        <w:t>.</w:t>
      </w:r>
    </w:p>
    <w:p w14:paraId="62047C7F" w14:textId="515BC3D8" w:rsidR="005034A8" w:rsidRDefault="007F4524" w:rsidP="005034A8">
      <w:pPr>
        <w:pStyle w:val="ListParagraph"/>
        <w:numPr>
          <w:ilvl w:val="1"/>
          <w:numId w:val="9"/>
        </w:numPr>
        <w:spacing w:before="0" w:after="5" w:line="250" w:lineRule="auto"/>
        <w:ind w:right="205" w:hanging="370"/>
        <w:rPr>
          <w:sz w:val="22"/>
          <w:szCs w:val="22"/>
        </w:rPr>
      </w:pPr>
      <w:r>
        <w:rPr>
          <w:sz w:val="22"/>
          <w:szCs w:val="22"/>
        </w:rPr>
        <w:t xml:space="preserve">Alumni networks will be used as a pool of programme graduates to </w:t>
      </w:r>
      <w:r w:rsidR="00A438E5">
        <w:rPr>
          <w:sz w:val="22"/>
          <w:szCs w:val="22"/>
        </w:rPr>
        <w:t xml:space="preserve">utilise for </w:t>
      </w:r>
      <w:r w:rsidR="000C476E">
        <w:rPr>
          <w:sz w:val="22"/>
          <w:szCs w:val="22"/>
        </w:rPr>
        <w:t>careers talks/events.</w:t>
      </w:r>
    </w:p>
    <w:p w14:paraId="6FD4E4F9" w14:textId="57CE3601" w:rsidR="005034A8" w:rsidRDefault="00397DC5" w:rsidP="005034A8">
      <w:pPr>
        <w:pStyle w:val="ListParagraph"/>
        <w:numPr>
          <w:ilvl w:val="0"/>
          <w:numId w:val="9"/>
        </w:numPr>
        <w:spacing w:before="0" w:after="5" w:line="250" w:lineRule="auto"/>
        <w:ind w:right="205" w:hanging="370"/>
        <w:rPr>
          <w:sz w:val="22"/>
          <w:szCs w:val="22"/>
        </w:rPr>
      </w:pPr>
      <w:r>
        <w:rPr>
          <w:sz w:val="22"/>
          <w:szCs w:val="22"/>
        </w:rPr>
        <w:t>Increased a</w:t>
      </w:r>
      <w:r w:rsidR="005034A8">
        <w:rPr>
          <w:sz w:val="22"/>
          <w:szCs w:val="22"/>
        </w:rPr>
        <w:t xml:space="preserve">dvertisement of </w:t>
      </w:r>
      <w:r w:rsidR="00386E2C">
        <w:rPr>
          <w:sz w:val="22"/>
          <w:szCs w:val="22"/>
        </w:rPr>
        <w:t xml:space="preserve">employment, internship, and </w:t>
      </w:r>
      <w:r w:rsidR="00703968">
        <w:rPr>
          <w:sz w:val="22"/>
          <w:szCs w:val="22"/>
        </w:rPr>
        <w:t xml:space="preserve">placement </w:t>
      </w:r>
      <w:r w:rsidR="005034A8">
        <w:rPr>
          <w:sz w:val="22"/>
          <w:szCs w:val="22"/>
        </w:rPr>
        <w:t>opportunities</w:t>
      </w:r>
      <w:r w:rsidR="003F1BCF">
        <w:rPr>
          <w:sz w:val="22"/>
          <w:szCs w:val="22"/>
        </w:rPr>
        <w:t>.</w:t>
      </w:r>
      <w:r w:rsidR="005034A8">
        <w:rPr>
          <w:sz w:val="22"/>
          <w:szCs w:val="22"/>
        </w:rPr>
        <w:t xml:space="preserve"> </w:t>
      </w:r>
    </w:p>
    <w:p w14:paraId="2E63100E" w14:textId="078D7F89" w:rsidR="00703968" w:rsidRDefault="00703968" w:rsidP="004D57A4">
      <w:pPr>
        <w:pStyle w:val="ListParagraph"/>
        <w:numPr>
          <w:ilvl w:val="1"/>
          <w:numId w:val="9"/>
        </w:numPr>
        <w:spacing w:before="0" w:after="5" w:line="250" w:lineRule="auto"/>
        <w:ind w:right="205" w:hanging="370"/>
        <w:rPr>
          <w:sz w:val="22"/>
          <w:szCs w:val="22"/>
        </w:rPr>
      </w:pPr>
      <w:r>
        <w:rPr>
          <w:sz w:val="22"/>
          <w:szCs w:val="22"/>
        </w:rPr>
        <w:t xml:space="preserve">Greater encouragement </w:t>
      </w:r>
      <w:r w:rsidR="003F1BCF">
        <w:rPr>
          <w:sz w:val="22"/>
          <w:szCs w:val="22"/>
        </w:rPr>
        <w:t>of</w:t>
      </w:r>
      <w:r>
        <w:rPr>
          <w:sz w:val="22"/>
          <w:szCs w:val="22"/>
        </w:rPr>
        <w:t xml:space="preserve"> take-up </w:t>
      </w:r>
      <w:r w:rsidR="003F1BCF">
        <w:rPr>
          <w:sz w:val="22"/>
          <w:szCs w:val="22"/>
        </w:rPr>
        <w:t>of work-based</w:t>
      </w:r>
      <w:r>
        <w:rPr>
          <w:sz w:val="22"/>
          <w:szCs w:val="22"/>
        </w:rPr>
        <w:t xml:space="preserve"> learning opportunities and sandwich years in conjunction with Carlo M</w:t>
      </w:r>
      <w:r w:rsidR="00620DE0">
        <w:rPr>
          <w:sz w:val="22"/>
          <w:szCs w:val="22"/>
        </w:rPr>
        <w:t>e</w:t>
      </w:r>
      <w:r>
        <w:rPr>
          <w:sz w:val="22"/>
          <w:szCs w:val="22"/>
        </w:rPr>
        <w:t>l</w:t>
      </w:r>
      <w:r w:rsidR="00620DE0">
        <w:rPr>
          <w:sz w:val="22"/>
          <w:szCs w:val="22"/>
        </w:rPr>
        <w:t>o</w:t>
      </w:r>
      <w:r>
        <w:rPr>
          <w:sz w:val="22"/>
          <w:szCs w:val="22"/>
        </w:rPr>
        <w:t xml:space="preserve">ro </w:t>
      </w:r>
      <w:r w:rsidR="00620DE0">
        <w:rPr>
          <w:sz w:val="22"/>
          <w:szCs w:val="22"/>
        </w:rPr>
        <w:t>and Torsten Wronski.</w:t>
      </w:r>
    </w:p>
    <w:p w14:paraId="5E5FDEC2" w14:textId="783657AB" w:rsidR="006D2BD7" w:rsidRDefault="006D2BD7" w:rsidP="004D57A4">
      <w:pPr>
        <w:pStyle w:val="ListParagraph"/>
        <w:numPr>
          <w:ilvl w:val="1"/>
          <w:numId w:val="9"/>
        </w:numPr>
        <w:spacing w:before="0" w:after="5" w:line="250" w:lineRule="auto"/>
        <w:ind w:right="205" w:hanging="370"/>
        <w:rPr>
          <w:sz w:val="22"/>
          <w:szCs w:val="22"/>
        </w:rPr>
      </w:pPr>
      <w:r>
        <w:rPr>
          <w:sz w:val="22"/>
          <w:szCs w:val="22"/>
        </w:rPr>
        <w:t xml:space="preserve">Advertisements for relevant internships and placements </w:t>
      </w:r>
      <w:r w:rsidR="00386E2C">
        <w:rPr>
          <w:sz w:val="22"/>
          <w:szCs w:val="22"/>
        </w:rPr>
        <w:t>to L5 students</w:t>
      </w:r>
      <w:r w:rsidR="003F1BCF">
        <w:rPr>
          <w:sz w:val="22"/>
          <w:szCs w:val="22"/>
        </w:rPr>
        <w:t xml:space="preserve"> in conjunction with Student Futures.</w:t>
      </w:r>
    </w:p>
    <w:p w14:paraId="0B9338B5" w14:textId="59C51152" w:rsidR="00386E2C" w:rsidRPr="004D57A4" w:rsidRDefault="00386E2C" w:rsidP="004D57A4">
      <w:pPr>
        <w:pStyle w:val="ListParagraph"/>
        <w:numPr>
          <w:ilvl w:val="1"/>
          <w:numId w:val="9"/>
        </w:numPr>
        <w:spacing w:before="0" w:after="5" w:line="250" w:lineRule="auto"/>
        <w:ind w:right="205" w:hanging="370"/>
        <w:rPr>
          <w:sz w:val="22"/>
          <w:szCs w:val="22"/>
        </w:rPr>
      </w:pPr>
      <w:r>
        <w:rPr>
          <w:sz w:val="22"/>
          <w:szCs w:val="22"/>
        </w:rPr>
        <w:lastRenderedPageBreak/>
        <w:t>Advertisement of suitable jobs</w:t>
      </w:r>
      <w:r w:rsidR="00620DE0">
        <w:rPr>
          <w:sz w:val="22"/>
          <w:szCs w:val="22"/>
        </w:rPr>
        <w:t xml:space="preserve"> and graduate schemes</w:t>
      </w:r>
      <w:r w:rsidR="003F1BCF">
        <w:rPr>
          <w:sz w:val="22"/>
          <w:szCs w:val="22"/>
        </w:rPr>
        <w:t xml:space="preserve"> to L6 students in conjunction with Student Futures.</w:t>
      </w:r>
    </w:p>
    <w:p w14:paraId="48A0D272" w14:textId="2EE4238F" w:rsidR="00C17DE8" w:rsidRDefault="00C17DE8">
      <w:pPr>
        <w:spacing w:after="219"/>
      </w:pPr>
    </w:p>
    <w:p w14:paraId="7BB0BDAC" w14:textId="77777777" w:rsidR="00E63567" w:rsidRPr="00E63567" w:rsidRDefault="00E63567">
      <w:pPr>
        <w:spacing w:after="219"/>
      </w:pPr>
    </w:p>
    <w:p w14:paraId="31B510FF" w14:textId="77777777" w:rsidR="00E63567" w:rsidRDefault="00E63567">
      <w:pPr>
        <w:rPr>
          <w:rFonts w:eastAsia="Arial"/>
          <w:b/>
          <w:color w:val="000000"/>
          <w:lang w:eastAsia="en-GB"/>
        </w:rPr>
      </w:pPr>
      <w:r>
        <w:rPr>
          <w:i/>
        </w:rPr>
        <w:br w:type="page"/>
      </w:r>
    </w:p>
    <w:p w14:paraId="5CB62B51" w14:textId="7ED0F788" w:rsidR="00C17DE8" w:rsidRPr="00E63567" w:rsidRDefault="00C17DE8">
      <w:pPr>
        <w:pStyle w:val="Heading2"/>
        <w:ind w:left="-5"/>
      </w:pPr>
      <w:r w:rsidRPr="00E63567">
        <w:rPr>
          <w:i w:val="0"/>
        </w:rPr>
        <w:lastRenderedPageBreak/>
        <w:t xml:space="preserve">Future Developments </w:t>
      </w:r>
    </w:p>
    <w:p w14:paraId="53A89C57" w14:textId="2B99951A" w:rsidR="00C17DE8" w:rsidRPr="00E63567" w:rsidRDefault="00C17DE8">
      <w:pPr>
        <w:ind w:right="205"/>
      </w:pPr>
      <w:r w:rsidRPr="00E63567">
        <w:t xml:space="preserve">Future developments will see employability interventions by programme teams and </w:t>
      </w:r>
      <w:r w:rsidR="00DD2678">
        <w:t>further adoption of the institutional and school</w:t>
      </w:r>
      <w:r w:rsidRPr="00E63567">
        <w:t xml:space="preserve"> employability</w:t>
      </w:r>
      <w:r w:rsidR="00DD2678">
        <w:t>.</w:t>
      </w:r>
      <w:r w:rsidRPr="00E63567">
        <w:t xml:space="preserve"> Further enhanced offerings with regard to </w:t>
      </w:r>
      <w:r w:rsidR="00DD2678">
        <w:t>Student Futures</w:t>
      </w:r>
      <w:r w:rsidRPr="00E63567">
        <w:t xml:space="preserve"> offerings will also be made. </w:t>
      </w:r>
    </w:p>
    <w:p w14:paraId="36859D89" w14:textId="1CC1BC9B" w:rsidR="00DD2678" w:rsidRDefault="00DD2678" w:rsidP="00C17DE8">
      <w:pPr>
        <w:numPr>
          <w:ilvl w:val="0"/>
          <w:numId w:val="10"/>
        </w:numPr>
        <w:spacing w:after="31" w:line="250" w:lineRule="auto"/>
        <w:ind w:right="205" w:hanging="360"/>
      </w:pPr>
      <w:r>
        <w:t xml:space="preserve">As part of </w:t>
      </w:r>
      <w:r w:rsidR="00AF73EC">
        <w:t xml:space="preserve">the </w:t>
      </w:r>
      <w:r>
        <w:t>periodic review</w:t>
      </w:r>
      <w:r w:rsidR="00AF73EC">
        <w:t xml:space="preserve"> process</w:t>
      </w:r>
      <w:r>
        <w:t xml:space="preserve">, </w:t>
      </w:r>
      <w:r w:rsidR="008C3432">
        <w:t xml:space="preserve">programme teams have amended their programmes to </w:t>
      </w:r>
      <w:r w:rsidR="00BC1DC0">
        <w:t>enhance employability and careers content</w:t>
      </w:r>
      <w:r w:rsidR="00556871">
        <w:t xml:space="preserve"> to begin in 2022-2023</w:t>
      </w:r>
      <w:r w:rsidR="00BC1DC0">
        <w:t>.</w:t>
      </w:r>
    </w:p>
    <w:p w14:paraId="4CAA76EB" w14:textId="74DA9213" w:rsidR="00BC1DC0" w:rsidRDefault="00BC1DC0" w:rsidP="00BC1DC0">
      <w:pPr>
        <w:numPr>
          <w:ilvl w:val="1"/>
          <w:numId w:val="10"/>
        </w:numPr>
        <w:spacing w:after="31" w:line="250" w:lineRule="auto"/>
        <w:ind w:right="205" w:hanging="360"/>
      </w:pPr>
      <w:r>
        <w:t>Biosciences</w:t>
      </w:r>
      <w:r w:rsidR="00B118DD">
        <w:t xml:space="preserve"> (Animal Behaviour and </w:t>
      </w:r>
      <w:r>
        <w:t xml:space="preserve">have </w:t>
      </w:r>
      <w:r w:rsidR="00BB67CF">
        <w:t xml:space="preserve">introduced </w:t>
      </w:r>
      <w:r w:rsidR="00811DE9">
        <w:t>assessed tutorials to encourage greater engagement with group and 1:1 tutorials. They have also introduced a</w:t>
      </w:r>
      <w:r w:rsidR="00F1543B">
        <w:t xml:space="preserve">n assessed employability </w:t>
      </w:r>
      <w:r w:rsidR="00811DE9">
        <w:t>portfolio at L5 (</w:t>
      </w:r>
      <w:r w:rsidR="00B118DD">
        <w:t>5201NATSCI).</w:t>
      </w:r>
    </w:p>
    <w:p w14:paraId="4B2BFBEC" w14:textId="7CF810E7" w:rsidR="00AF73EC" w:rsidRDefault="00AF73EC" w:rsidP="00DB32ED">
      <w:pPr>
        <w:numPr>
          <w:ilvl w:val="1"/>
          <w:numId w:val="10"/>
        </w:numPr>
        <w:spacing w:after="31" w:line="250" w:lineRule="auto"/>
        <w:ind w:right="205" w:hanging="360"/>
      </w:pPr>
      <w:r>
        <w:t xml:space="preserve">Environmental Sciences </w:t>
      </w:r>
      <w:r w:rsidR="005034A8">
        <w:t xml:space="preserve">and Forensic Anthropology </w:t>
      </w:r>
      <w:r>
        <w:t>have</w:t>
      </w:r>
      <w:r w:rsidR="00556871">
        <w:t xml:space="preserve"> mandatory</w:t>
      </w:r>
      <w:r>
        <w:t xml:space="preserve"> introduced </w:t>
      </w:r>
      <w:r w:rsidR="00556871">
        <w:t>work-based learning opportunities within their core modules lead by industry representatives, something which will be further</w:t>
      </w:r>
      <w:r w:rsidR="005034A8">
        <w:t xml:space="preserve"> implemented across the school.</w:t>
      </w:r>
    </w:p>
    <w:p w14:paraId="53AD6820" w14:textId="424F2DF8" w:rsidR="007B2956" w:rsidRDefault="007B2956" w:rsidP="007B2956">
      <w:pPr>
        <w:numPr>
          <w:ilvl w:val="2"/>
          <w:numId w:val="10"/>
        </w:numPr>
        <w:spacing w:after="31" w:line="250" w:lineRule="auto"/>
        <w:ind w:right="205" w:hanging="360"/>
      </w:pPr>
      <w:r>
        <w:t xml:space="preserve">Mandatory work-based learning within an Environmental Sciences module (5302NATSCI) </w:t>
      </w:r>
      <w:r w:rsidR="00F66557">
        <w:t>began this year, and will be further developed in line with institutional strategy in 2022-2023.</w:t>
      </w:r>
    </w:p>
    <w:p w14:paraId="1B41A1E5" w14:textId="715958CC" w:rsidR="0098069C" w:rsidRDefault="0098069C" w:rsidP="0098069C">
      <w:pPr>
        <w:numPr>
          <w:ilvl w:val="0"/>
          <w:numId w:val="10"/>
        </w:numPr>
        <w:spacing w:after="31" w:line="250" w:lineRule="auto"/>
        <w:ind w:right="205" w:hanging="360"/>
      </w:pPr>
      <w:r>
        <w:t>Programmes will tweak and adapt module content and assessments to emphasis employability skills (already implemented to some extent this year).</w:t>
      </w:r>
    </w:p>
    <w:p w14:paraId="3F70EB83" w14:textId="77777777" w:rsidR="0098069C" w:rsidRDefault="0098069C" w:rsidP="0098069C">
      <w:pPr>
        <w:numPr>
          <w:ilvl w:val="3"/>
          <w:numId w:val="10"/>
        </w:numPr>
        <w:spacing w:after="32" w:line="250" w:lineRule="auto"/>
        <w:ind w:right="205" w:hanging="360"/>
      </w:pPr>
      <w:r>
        <w:t>Deeper embedding of, and greater emphasis on employability skills within each programme.</w:t>
      </w:r>
    </w:p>
    <w:p w14:paraId="6A07D508" w14:textId="77777777" w:rsidR="0098069C" w:rsidRDefault="0098069C" w:rsidP="0098069C">
      <w:pPr>
        <w:numPr>
          <w:ilvl w:val="3"/>
          <w:numId w:val="10"/>
        </w:numPr>
        <w:spacing w:after="32" w:line="250" w:lineRule="auto"/>
        <w:ind w:right="205" w:hanging="360"/>
      </w:pPr>
      <w:r>
        <w:t>Use of novel assessments to build/increase transferable skills capabilities</w:t>
      </w:r>
    </w:p>
    <w:p w14:paraId="0FAA9980" w14:textId="5CB86024" w:rsidR="0098069C" w:rsidRDefault="00EC7930" w:rsidP="00C17DE8">
      <w:pPr>
        <w:numPr>
          <w:ilvl w:val="0"/>
          <w:numId w:val="10"/>
        </w:numPr>
        <w:spacing w:after="31" w:line="250" w:lineRule="auto"/>
        <w:ind w:right="205" w:hanging="360"/>
      </w:pPr>
      <w:r>
        <w:t>Further develop industry connections to increase networks of employers and build a large potential resource for work-based learning opportunities</w:t>
      </w:r>
    </w:p>
    <w:p w14:paraId="2A1EF019" w14:textId="6B9454E3" w:rsidR="00EC7930" w:rsidRDefault="00B05D50" w:rsidP="00EC7930">
      <w:pPr>
        <w:numPr>
          <w:ilvl w:val="1"/>
          <w:numId w:val="10"/>
        </w:numPr>
        <w:spacing w:after="31" w:line="250" w:lineRule="auto"/>
        <w:ind w:right="205" w:hanging="360"/>
      </w:pPr>
      <w:r>
        <w:t>Developed in conjunction with Student Futures</w:t>
      </w:r>
      <w:r w:rsidR="00C24952">
        <w:t>.</w:t>
      </w:r>
    </w:p>
    <w:p w14:paraId="06828E40" w14:textId="5FCF7BA4" w:rsidR="00C17DE8" w:rsidRDefault="006C6530" w:rsidP="00C17DE8">
      <w:pPr>
        <w:numPr>
          <w:ilvl w:val="0"/>
          <w:numId w:val="10"/>
        </w:numPr>
        <w:spacing w:after="31" w:line="250" w:lineRule="auto"/>
        <w:ind w:right="205" w:hanging="360"/>
      </w:pPr>
      <w:r>
        <w:t xml:space="preserve">Organise more specific programme/subject specific </w:t>
      </w:r>
      <w:r w:rsidR="00375DBC">
        <w:t>careers events</w:t>
      </w:r>
      <w:r w:rsidR="00C24952">
        <w:t>.</w:t>
      </w:r>
    </w:p>
    <w:p w14:paraId="10669501" w14:textId="34896EAB" w:rsidR="00375DBC" w:rsidRDefault="00375DBC" w:rsidP="00375DBC">
      <w:pPr>
        <w:numPr>
          <w:ilvl w:val="1"/>
          <w:numId w:val="10"/>
        </w:numPr>
        <w:spacing w:after="31" w:line="250" w:lineRule="auto"/>
        <w:ind w:right="205" w:hanging="360"/>
      </w:pPr>
      <w:r>
        <w:t>Organised in conjunction with</w:t>
      </w:r>
      <w:r w:rsidR="00C24952">
        <w:t xml:space="preserve"> Student Futures.</w:t>
      </w:r>
      <w:r>
        <w:t xml:space="preserve"> </w:t>
      </w:r>
    </w:p>
    <w:p w14:paraId="176766AC" w14:textId="0226414F" w:rsidR="00C24952" w:rsidRDefault="009206F9" w:rsidP="00C24952">
      <w:pPr>
        <w:numPr>
          <w:ilvl w:val="0"/>
          <w:numId w:val="10"/>
        </w:numPr>
        <w:spacing w:after="31" w:line="250" w:lineRule="auto"/>
        <w:ind w:right="205" w:hanging="360"/>
      </w:pPr>
      <w:r>
        <w:t xml:space="preserve">Introduce careers </w:t>
      </w:r>
      <w:r w:rsidR="00B9573D">
        <w:t>content during induction activities to emphasise the connection between university and student futures</w:t>
      </w:r>
    </w:p>
    <w:p w14:paraId="10A428FA" w14:textId="4E0C1ADC" w:rsidR="00AE27BB" w:rsidRDefault="00AE27BB" w:rsidP="00C24952">
      <w:pPr>
        <w:numPr>
          <w:ilvl w:val="0"/>
          <w:numId w:val="10"/>
        </w:numPr>
        <w:spacing w:after="31" w:line="250" w:lineRule="auto"/>
        <w:ind w:right="205" w:hanging="360"/>
      </w:pPr>
      <w:r>
        <w:t>In the 2023-2022 academic year, a new</w:t>
      </w:r>
      <w:r w:rsidR="00A17BE9">
        <w:t xml:space="preserve"> BSc Environmental Science programme will commence designed to provide students with the knowledge and skillsets to enter the expanding green jobs sector.</w:t>
      </w:r>
    </w:p>
    <w:p w14:paraId="67D903DC" w14:textId="2DCA27A4" w:rsidR="00C17DE8" w:rsidRDefault="00C17DE8">
      <w:pPr>
        <w:spacing w:after="259"/>
      </w:pPr>
    </w:p>
    <w:p w14:paraId="0B75EDDC" w14:textId="77777777" w:rsidR="00C17DE8" w:rsidRDefault="00C17DE8">
      <w:pPr>
        <w:pStyle w:val="Heading2"/>
        <w:ind w:left="-5"/>
      </w:pPr>
      <w:r>
        <w:rPr>
          <w:i w:val="0"/>
        </w:rPr>
        <w:t xml:space="preserve">Summary </w:t>
      </w:r>
    </w:p>
    <w:p w14:paraId="4632C9B8" w14:textId="36F437D6" w:rsidR="00C17DE8" w:rsidRDefault="00C17DE8" w:rsidP="00C17DE8">
      <w:pPr>
        <w:numPr>
          <w:ilvl w:val="0"/>
          <w:numId w:val="12"/>
        </w:numPr>
        <w:spacing w:after="0"/>
        <w:ind w:right="208" w:hanging="360"/>
      </w:pPr>
      <w:r>
        <w:t xml:space="preserve">Graduate Outcomes and the Career Readiness of students in BES </w:t>
      </w:r>
      <w:r w:rsidR="00942289">
        <w:t>remain</w:t>
      </w:r>
      <w:r>
        <w:t xml:space="preserve"> low</w:t>
      </w:r>
      <w:r w:rsidR="00942289">
        <w:t xml:space="preserve"> with</w:t>
      </w:r>
      <w:r w:rsidR="00313B3A">
        <w:t xml:space="preserve"> poor numbers of graduates finding high skilled employment or further study within 15 months of graduation</w:t>
      </w:r>
      <w:r>
        <w:t xml:space="preserve">. </w:t>
      </w:r>
    </w:p>
    <w:p w14:paraId="2571658C" w14:textId="0A0F49FA" w:rsidR="00C17DE8" w:rsidRDefault="00C17DE8" w:rsidP="00C17DE8">
      <w:pPr>
        <w:numPr>
          <w:ilvl w:val="0"/>
          <w:numId w:val="12"/>
        </w:numPr>
        <w:spacing w:after="0"/>
        <w:ind w:right="208" w:hanging="360"/>
      </w:pPr>
      <w:r>
        <w:t xml:space="preserve">There </w:t>
      </w:r>
      <w:r w:rsidR="00313B3A">
        <w:t>remains a</w:t>
      </w:r>
      <w:r>
        <w:t xml:space="preserve"> low uptake of the services and resources provided by Student </w:t>
      </w:r>
      <w:r w:rsidR="00E83FBA">
        <w:t>Futures.</w:t>
      </w:r>
    </w:p>
    <w:p w14:paraId="0A516D33" w14:textId="5BCC7783" w:rsidR="00C17DE8" w:rsidRDefault="00C17DE8" w:rsidP="00C17DE8">
      <w:pPr>
        <w:numPr>
          <w:ilvl w:val="0"/>
          <w:numId w:val="12"/>
        </w:numPr>
        <w:spacing w:after="5" w:line="250" w:lineRule="auto"/>
        <w:ind w:right="208" w:hanging="360"/>
      </w:pPr>
      <w:r>
        <w:t>There is low uptake of work-based learning and placements within BES</w:t>
      </w:r>
      <w:r w:rsidR="00C13D1A">
        <w:t>.</w:t>
      </w:r>
      <w:r>
        <w:t xml:space="preserve"> </w:t>
      </w:r>
    </w:p>
    <w:p w14:paraId="7AB7A4EB" w14:textId="53124F9F" w:rsidR="00C468FE" w:rsidRDefault="00313B3A" w:rsidP="00A3566C">
      <w:pPr>
        <w:numPr>
          <w:ilvl w:val="0"/>
          <w:numId w:val="12"/>
        </w:numPr>
        <w:spacing w:after="5" w:line="250" w:lineRule="auto"/>
        <w:ind w:right="208" w:hanging="360"/>
      </w:pPr>
      <w:r>
        <w:t xml:space="preserve">As part of the </w:t>
      </w:r>
      <w:r w:rsidR="009D2AC5">
        <w:t xml:space="preserve">recent periodic programme reviews </w:t>
      </w:r>
      <w:r w:rsidR="00A05696">
        <w:t>from next academic year</w:t>
      </w:r>
      <w:r w:rsidR="00C13D1A">
        <w:t xml:space="preserve"> (2022-2023)</w:t>
      </w:r>
      <w:r w:rsidR="00A05696">
        <w:t xml:space="preserve">, programme amendments will strengthen </w:t>
      </w:r>
      <w:r w:rsidR="00ED01B9">
        <w:t>delivery of skills within the</w:t>
      </w:r>
      <w:r w:rsidR="00375DBC">
        <w:t xml:space="preserve"> course content,</w:t>
      </w:r>
      <w:r w:rsidR="00ED01B9">
        <w:t xml:space="preserve"> tutorial programme</w:t>
      </w:r>
      <w:r w:rsidR="00375DBC">
        <w:t>,</w:t>
      </w:r>
      <w:r w:rsidR="00ED01B9">
        <w:t xml:space="preserve"> and</w:t>
      </w:r>
      <w:r w:rsidR="00375DBC">
        <w:t xml:space="preserve"> encourage</w:t>
      </w:r>
      <w:r w:rsidR="00ED01B9">
        <w:t xml:space="preserve"> increase attendance at 1:1 progress review </w:t>
      </w:r>
      <w:r w:rsidR="00C13D1A">
        <w:t>meeting</w:t>
      </w:r>
      <w:r w:rsidR="00375DBC">
        <w:t>s</w:t>
      </w:r>
      <w:r w:rsidR="00ED01B9">
        <w:t xml:space="preserve"> with personal tutors</w:t>
      </w:r>
      <w:r w:rsidR="00E83FBA">
        <w:t>.</w:t>
      </w:r>
    </w:p>
    <w:p w14:paraId="3218CE20" w14:textId="1DD373F0" w:rsidR="00ED01B9" w:rsidRPr="00E63567" w:rsidRDefault="00C13D1A" w:rsidP="00A3566C">
      <w:pPr>
        <w:numPr>
          <w:ilvl w:val="0"/>
          <w:numId w:val="12"/>
        </w:numPr>
        <w:spacing w:after="5" w:line="250" w:lineRule="auto"/>
        <w:ind w:right="208" w:hanging="360"/>
      </w:pPr>
      <w:r>
        <w:t xml:space="preserve">Work-based learning </w:t>
      </w:r>
      <w:r w:rsidR="00E83FBA">
        <w:t>opportunities outside of the placement system will be increased across the school.</w:t>
      </w:r>
      <w:r>
        <w:t xml:space="preserve"> </w:t>
      </w:r>
    </w:p>
    <w:sectPr w:rsidR="00ED01B9" w:rsidRPr="00E6356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215A" w14:textId="77777777" w:rsidR="00D636BB" w:rsidRDefault="00D636BB" w:rsidP="00C17DE8">
      <w:r>
        <w:separator/>
      </w:r>
    </w:p>
  </w:endnote>
  <w:endnote w:type="continuationSeparator" w:id="0">
    <w:p w14:paraId="76C4E91A" w14:textId="77777777" w:rsidR="00D636BB" w:rsidRDefault="00D636BB" w:rsidP="00C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ECAD" w14:textId="77777777" w:rsidR="00D636BB" w:rsidRDefault="00D636BB" w:rsidP="00C17DE8">
      <w:r>
        <w:separator/>
      </w:r>
    </w:p>
  </w:footnote>
  <w:footnote w:type="continuationSeparator" w:id="0">
    <w:p w14:paraId="102E464F" w14:textId="77777777" w:rsidR="00D636BB" w:rsidRDefault="00D636BB" w:rsidP="00C1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8329"/>
      <w:docPartObj>
        <w:docPartGallery w:val="Page Numbers (Top of Page)"/>
        <w:docPartUnique/>
      </w:docPartObj>
    </w:sdtPr>
    <w:sdtEndPr>
      <w:rPr>
        <w:noProof/>
      </w:rPr>
    </w:sdtEndPr>
    <w:sdtContent>
      <w:p w14:paraId="5FFCAB1C" w14:textId="363F7595" w:rsidR="0064504D" w:rsidRDefault="0064504D" w:rsidP="00C17DE8">
        <w:pPr>
          <w:pStyle w:val="Header"/>
          <w:jc w:val="right"/>
        </w:pPr>
        <w:r>
          <w:fldChar w:fldCharType="begin"/>
        </w:r>
        <w:r>
          <w:instrText xml:space="preserve"> PAGE   \* MERGEFORMAT </w:instrText>
        </w:r>
        <w:r>
          <w:fldChar w:fldCharType="separate"/>
        </w:r>
        <w:r w:rsidR="00711DA0">
          <w:rPr>
            <w:noProof/>
          </w:rPr>
          <w:t>1</w:t>
        </w:r>
        <w:r>
          <w:rPr>
            <w:noProof/>
          </w:rPr>
          <w:fldChar w:fldCharType="end"/>
        </w:r>
      </w:p>
    </w:sdtContent>
  </w:sdt>
  <w:p w14:paraId="7C79FF7C" w14:textId="77777777" w:rsidR="0064504D" w:rsidRDefault="0064504D" w:rsidP="00C17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2BA"/>
    <w:multiLevelType w:val="hybridMultilevel"/>
    <w:tmpl w:val="95F20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E33"/>
    <w:multiLevelType w:val="hybridMultilevel"/>
    <w:tmpl w:val="6AF00A8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CAB3E25"/>
    <w:multiLevelType w:val="hybridMultilevel"/>
    <w:tmpl w:val="9EE89E6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297074"/>
    <w:multiLevelType w:val="hybridMultilevel"/>
    <w:tmpl w:val="A0686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F0030"/>
    <w:multiLevelType w:val="hybridMultilevel"/>
    <w:tmpl w:val="9CF62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739B1"/>
    <w:multiLevelType w:val="hybridMultilevel"/>
    <w:tmpl w:val="14B8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45372"/>
    <w:multiLevelType w:val="hybridMultilevel"/>
    <w:tmpl w:val="286C142C"/>
    <w:lvl w:ilvl="0" w:tplc="57FA64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C42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5ACC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7CF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3EC8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842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78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622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EBE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720DDD"/>
    <w:multiLevelType w:val="hybridMultilevel"/>
    <w:tmpl w:val="E5569200"/>
    <w:lvl w:ilvl="0" w:tplc="28A82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AD38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2059D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80B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9E466C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3E02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3A013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38075E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A2888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8A28D7"/>
    <w:multiLevelType w:val="hybridMultilevel"/>
    <w:tmpl w:val="C8C84FF8"/>
    <w:lvl w:ilvl="0" w:tplc="84BA3CCA">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9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5F80FAC">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090001">
      <w:start w:val="1"/>
      <w:numFmt w:val="bullet"/>
      <w:lvlText w:val=""/>
      <w:lvlJc w:val="left"/>
      <w:pPr>
        <w:ind w:left="21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DFF4304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44CD7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F449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06E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421F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BD3392"/>
    <w:multiLevelType w:val="hybridMultilevel"/>
    <w:tmpl w:val="44EA2D96"/>
    <w:lvl w:ilvl="0" w:tplc="2ECCA432">
      <w:start w:val="1"/>
      <w:numFmt w:val="bullet"/>
      <w:lvlText w:val="•"/>
      <w:lvlJc w:val="left"/>
      <w:pPr>
        <w:ind w:left="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3EC75A">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42E2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BB8AAA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0D0DEA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36BC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760C0D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2D0A0D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11266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BF6669"/>
    <w:multiLevelType w:val="hybridMultilevel"/>
    <w:tmpl w:val="371693BA"/>
    <w:lvl w:ilvl="0" w:tplc="A93AAE2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52FAF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00883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1E8D17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5C2CB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D8BB8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D24E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B1844A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A26EFF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A3472C9"/>
    <w:multiLevelType w:val="hybridMultilevel"/>
    <w:tmpl w:val="ECC0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1A2A4B"/>
    <w:multiLevelType w:val="hybridMultilevel"/>
    <w:tmpl w:val="B90C7670"/>
    <w:lvl w:ilvl="0" w:tplc="10A4E2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7C3EFC"/>
    <w:multiLevelType w:val="hybridMultilevel"/>
    <w:tmpl w:val="FFB8EDA4"/>
    <w:lvl w:ilvl="0" w:tplc="4A68F1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7CFAC8">
      <w:start w:val="1"/>
      <w:numFmt w:val="bullet"/>
      <w:lvlText w:val="o"/>
      <w:lvlJc w:val="left"/>
      <w:pPr>
        <w:ind w:left="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F80FAC">
      <w:start w:val="1"/>
      <w:numFmt w:val="bullet"/>
      <w:lvlText w:val="▪"/>
      <w:lvlJc w:val="left"/>
      <w:pPr>
        <w:ind w:left="1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FF4304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44CD7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F449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06E0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421F7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0653A3"/>
    <w:multiLevelType w:val="hybridMultilevel"/>
    <w:tmpl w:val="D8EA4B26"/>
    <w:lvl w:ilvl="0" w:tplc="2FD67D8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8C5C8E"/>
    <w:multiLevelType w:val="hybridMultilevel"/>
    <w:tmpl w:val="FBB4B1F6"/>
    <w:lvl w:ilvl="0" w:tplc="C0B8089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0651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362F7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BA3CC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134347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D4AA6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1ECEB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54EBCF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CC27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89B58DA"/>
    <w:multiLevelType w:val="hybridMultilevel"/>
    <w:tmpl w:val="3B9C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52AAC"/>
    <w:multiLevelType w:val="hybridMultilevel"/>
    <w:tmpl w:val="6526F6A8"/>
    <w:lvl w:ilvl="0" w:tplc="5492BF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90E092">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6607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1E7B1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8600A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12A6FF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5BC5D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D7AFB5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FEF2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391406"/>
    <w:multiLevelType w:val="hybridMultilevel"/>
    <w:tmpl w:val="B4F800EC"/>
    <w:lvl w:ilvl="0" w:tplc="9BFC8D2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9C6CA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0EA6A">
      <w:start w:val="1"/>
      <w:numFmt w:val="bullet"/>
      <w:lvlRestart w:val="0"/>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41CDAB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D202A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6CC8E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DA4EAF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AE4262">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AF2313A">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AF749A"/>
    <w:multiLevelType w:val="hybridMultilevel"/>
    <w:tmpl w:val="38DCA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7672B4"/>
    <w:multiLevelType w:val="hybridMultilevel"/>
    <w:tmpl w:val="E95C1B88"/>
    <w:lvl w:ilvl="0" w:tplc="9DE002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C2050C">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38A274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A6244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1E64A6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70717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FEE176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EAAB51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F34D86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657851421">
    <w:abstractNumId w:val="12"/>
  </w:num>
  <w:num w:numId="2" w16cid:durableId="1233738525">
    <w:abstractNumId w:val="19"/>
  </w:num>
  <w:num w:numId="3" w16cid:durableId="1685355380">
    <w:abstractNumId w:val="4"/>
  </w:num>
  <w:num w:numId="4" w16cid:durableId="2016806619">
    <w:abstractNumId w:val="16"/>
  </w:num>
  <w:num w:numId="5" w16cid:durableId="1546679464">
    <w:abstractNumId w:val="15"/>
  </w:num>
  <w:num w:numId="6" w16cid:durableId="411466667">
    <w:abstractNumId w:val="20"/>
  </w:num>
  <w:num w:numId="7" w16cid:durableId="984315058">
    <w:abstractNumId w:val="17"/>
  </w:num>
  <w:num w:numId="8" w16cid:durableId="788816749">
    <w:abstractNumId w:val="6"/>
  </w:num>
  <w:num w:numId="9" w16cid:durableId="1768309571">
    <w:abstractNumId w:val="7"/>
  </w:num>
  <w:num w:numId="10" w16cid:durableId="667290490">
    <w:abstractNumId w:val="10"/>
  </w:num>
  <w:num w:numId="11" w16cid:durableId="936602237">
    <w:abstractNumId w:val="18"/>
  </w:num>
  <w:num w:numId="12" w16cid:durableId="1960139960">
    <w:abstractNumId w:val="9"/>
  </w:num>
  <w:num w:numId="13" w16cid:durableId="1131751338">
    <w:abstractNumId w:val="1"/>
  </w:num>
  <w:num w:numId="14" w16cid:durableId="1173958341">
    <w:abstractNumId w:val="13"/>
  </w:num>
  <w:num w:numId="15" w16cid:durableId="732849062">
    <w:abstractNumId w:val="14"/>
  </w:num>
  <w:num w:numId="16" w16cid:durableId="562563218">
    <w:abstractNumId w:val="3"/>
  </w:num>
  <w:num w:numId="17" w16cid:durableId="290745295">
    <w:abstractNumId w:val="11"/>
  </w:num>
  <w:num w:numId="18" w16cid:durableId="1581672357">
    <w:abstractNumId w:val="2"/>
  </w:num>
  <w:num w:numId="19" w16cid:durableId="336228763">
    <w:abstractNumId w:val="0"/>
  </w:num>
  <w:num w:numId="20" w16cid:durableId="2081318322">
    <w:abstractNumId w:val="5"/>
  </w:num>
  <w:num w:numId="21" w16cid:durableId="1560165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FE"/>
    <w:rsid w:val="00003706"/>
    <w:rsid w:val="00012025"/>
    <w:rsid w:val="00012E10"/>
    <w:rsid w:val="00022CE4"/>
    <w:rsid w:val="00041E5C"/>
    <w:rsid w:val="00053452"/>
    <w:rsid w:val="000627F1"/>
    <w:rsid w:val="00066FAB"/>
    <w:rsid w:val="000A1894"/>
    <w:rsid w:val="000C476E"/>
    <w:rsid w:val="000E5DCB"/>
    <w:rsid w:val="0010705C"/>
    <w:rsid w:val="00110913"/>
    <w:rsid w:val="00117661"/>
    <w:rsid w:val="00121D48"/>
    <w:rsid w:val="00135D40"/>
    <w:rsid w:val="001A1C76"/>
    <w:rsid w:val="001B119E"/>
    <w:rsid w:val="001D07AD"/>
    <w:rsid w:val="001D4116"/>
    <w:rsid w:val="001D7A6E"/>
    <w:rsid w:val="001E2C69"/>
    <w:rsid w:val="002104E9"/>
    <w:rsid w:val="00212E3E"/>
    <w:rsid w:val="002316DA"/>
    <w:rsid w:val="0023677E"/>
    <w:rsid w:val="00273E14"/>
    <w:rsid w:val="0028731E"/>
    <w:rsid w:val="00297054"/>
    <w:rsid w:val="002A4277"/>
    <w:rsid w:val="002A7249"/>
    <w:rsid w:val="002D0F1D"/>
    <w:rsid w:val="002D279F"/>
    <w:rsid w:val="00303531"/>
    <w:rsid w:val="00307B8E"/>
    <w:rsid w:val="00313B3A"/>
    <w:rsid w:val="0032620F"/>
    <w:rsid w:val="00330010"/>
    <w:rsid w:val="003306AC"/>
    <w:rsid w:val="00336EA7"/>
    <w:rsid w:val="00354A2B"/>
    <w:rsid w:val="003656A3"/>
    <w:rsid w:val="003663F6"/>
    <w:rsid w:val="00375DBC"/>
    <w:rsid w:val="00386E2C"/>
    <w:rsid w:val="00390F83"/>
    <w:rsid w:val="0039417D"/>
    <w:rsid w:val="00396FA2"/>
    <w:rsid w:val="00397DC5"/>
    <w:rsid w:val="003A22C6"/>
    <w:rsid w:val="003A6292"/>
    <w:rsid w:val="003C2E0F"/>
    <w:rsid w:val="003E1DC3"/>
    <w:rsid w:val="003E209D"/>
    <w:rsid w:val="003E2E83"/>
    <w:rsid w:val="003F1BCF"/>
    <w:rsid w:val="003F5B40"/>
    <w:rsid w:val="004056B2"/>
    <w:rsid w:val="00412057"/>
    <w:rsid w:val="0043313E"/>
    <w:rsid w:val="004637D5"/>
    <w:rsid w:val="00464350"/>
    <w:rsid w:val="00467865"/>
    <w:rsid w:val="004703E5"/>
    <w:rsid w:val="004A0C49"/>
    <w:rsid w:val="004B1762"/>
    <w:rsid w:val="004B548E"/>
    <w:rsid w:val="004B74AE"/>
    <w:rsid w:val="004D57A4"/>
    <w:rsid w:val="004E7D4C"/>
    <w:rsid w:val="005034A8"/>
    <w:rsid w:val="00506823"/>
    <w:rsid w:val="0052527A"/>
    <w:rsid w:val="00527F3D"/>
    <w:rsid w:val="00533454"/>
    <w:rsid w:val="00533C8A"/>
    <w:rsid w:val="00543494"/>
    <w:rsid w:val="00556871"/>
    <w:rsid w:val="005700B5"/>
    <w:rsid w:val="00586018"/>
    <w:rsid w:val="005A3381"/>
    <w:rsid w:val="005B7E92"/>
    <w:rsid w:val="005C6114"/>
    <w:rsid w:val="005D0FF5"/>
    <w:rsid w:val="005E1146"/>
    <w:rsid w:val="00620DE0"/>
    <w:rsid w:val="006372A6"/>
    <w:rsid w:val="006444E5"/>
    <w:rsid w:val="0064504D"/>
    <w:rsid w:val="00645504"/>
    <w:rsid w:val="00646579"/>
    <w:rsid w:val="0065490A"/>
    <w:rsid w:val="00663FB2"/>
    <w:rsid w:val="00665A5D"/>
    <w:rsid w:val="00665F89"/>
    <w:rsid w:val="006719E5"/>
    <w:rsid w:val="00672856"/>
    <w:rsid w:val="00673452"/>
    <w:rsid w:val="00677FEC"/>
    <w:rsid w:val="006913CF"/>
    <w:rsid w:val="006C6530"/>
    <w:rsid w:val="006D2BD7"/>
    <w:rsid w:val="006F79B7"/>
    <w:rsid w:val="00703968"/>
    <w:rsid w:val="00711DA0"/>
    <w:rsid w:val="00717380"/>
    <w:rsid w:val="007228B4"/>
    <w:rsid w:val="00742663"/>
    <w:rsid w:val="007454D4"/>
    <w:rsid w:val="007536FA"/>
    <w:rsid w:val="00756C81"/>
    <w:rsid w:val="007678E4"/>
    <w:rsid w:val="0078268F"/>
    <w:rsid w:val="00784818"/>
    <w:rsid w:val="007A7CF8"/>
    <w:rsid w:val="007A7F61"/>
    <w:rsid w:val="007B03FA"/>
    <w:rsid w:val="007B175E"/>
    <w:rsid w:val="007B2956"/>
    <w:rsid w:val="007E051A"/>
    <w:rsid w:val="007E4531"/>
    <w:rsid w:val="007F4524"/>
    <w:rsid w:val="00800698"/>
    <w:rsid w:val="00805D4F"/>
    <w:rsid w:val="00811DE9"/>
    <w:rsid w:val="00823782"/>
    <w:rsid w:val="008248EC"/>
    <w:rsid w:val="008267CE"/>
    <w:rsid w:val="00835FE9"/>
    <w:rsid w:val="0084053A"/>
    <w:rsid w:val="00862BB3"/>
    <w:rsid w:val="00865CB3"/>
    <w:rsid w:val="00881CB6"/>
    <w:rsid w:val="008927CA"/>
    <w:rsid w:val="008B51D2"/>
    <w:rsid w:val="008B5854"/>
    <w:rsid w:val="008C3432"/>
    <w:rsid w:val="008C617A"/>
    <w:rsid w:val="008D0E72"/>
    <w:rsid w:val="008D1ADE"/>
    <w:rsid w:val="008E0E3E"/>
    <w:rsid w:val="00905D79"/>
    <w:rsid w:val="009206F9"/>
    <w:rsid w:val="00935978"/>
    <w:rsid w:val="00942289"/>
    <w:rsid w:val="00950EB9"/>
    <w:rsid w:val="00954EA8"/>
    <w:rsid w:val="009776CD"/>
    <w:rsid w:val="0098069C"/>
    <w:rsid w:val="009844CF"/>
    <w:rsid w:val="009863CE"/>
    <w:rsid w:val="009A4932"/>
    <w:rsid w:val="009B0088"/>
    <w:rsid w:val="009D2AC5"/>
    <w:rsid w:val="00A05696"/>
    <w:rsid w:val="00A17BE9"/>
    <w:rsid w:val="00A2167A"/>
    <w:rsid w:val="00A3566C"/>
    <w:rsid w:val="00A42DF8"/>
    <w:rsid w:val="00A438E5"/>
    <w:rsid w:val="00A43E50"/>
    <w:rsid w:val="00A45D10"/>
    <w:rsid w:val="00A83A04"/>
    <w:rsid w:val="00A97AD8"/>
    <w:rsid w:val="00AA7239"/>
    <w:rsid w:val="00AE27BB"/>
    <w:rsid w:val="00AE3DF1"/>
    <w:rsid w:val="00AE3DFD"/>
    <w:rsid w:val="00AE49D3"/>
    <w:rsid w:val="00AF0C5B"/>
    <w:rsid w:val="00AF5B45"/>
    <w:rsid w:val="00AF5F96"/>
    <w:rsid w:val="00AF73EC"/>
    <w:rsid w:val="00AF7F07"/>
    <w:rsid w:val="00B0133F"/>
    <w:rsid w:val="00B01AF1"/>
    <w:rsid w:val="00B0501F"/>
    <w:rsid w:val="00B05D50"/>
    <w:rsid w:val="00B118DD"/>
    <w:rsid w:val="00B136C9"/>
    <w:rsid w:val="00B1440E"/>
    <w:rsid w:val="00B516F9"/>
    <w:rsid w:val="00B52C0D"/>
    <w:rsid w:val="00B72EAA"/>
    <w:rsid w:val="00B73CB5"/>
    <w:rsid w:val="00B9573D"/>
    <w:rsid w:val="00B975D0"/>
    <w:rsid w:val="00BA0868"/>
    <w:rsid w:val="00BA5419"/>
    <w:rsid w:val="00BB3C62"/>
    <w:rsid w:val="00BB67CF"/>
    <w:rsid w:val="00BC1DC0"/>
    <w:rsid w:val="00BE2EF8"/>
    <w:rsid w:val="00C000B2"/>
    <w:rsid w:val="00C03385"/>
    <w:rsid w:val="00C13998"/>
    <w:rsid w:val="00C13D1A"/>
    <w:rsid w:val="00C1481B"/>
    <w:rsid w:val="00C17DE8"/>
    <w:rsid w:val="00C24952"/>
    <w:rsid w:val="00C314B7"/>
    <w:rsid w:val="00C35C98"/>
    <w:rsid w:val="00C36A95"/>
    <w:rsid w:val="00C3721B"/>
    <w:rsid w:val="00C468FE"/>
    <w:rsid w:val="00C52582"/>
    <w:rsid w:val="00C636C3"/>
    <w:rsid w:val="00C65E0D"/>
    <w:rsid w:val="00C73B29"/>
    <w:rsid w:val="00C81F19"/>
    <w:rsid w:val="00C9267F"/>
    <w:rsid w:val="00C95925"/>
    <w:rsid w:val="00C9597C"/>
    <w:rsid w:val="00CA44B1"/>
    <w:rsid w:val="00CC2DA6"/>
    <w:rsid w:val="00CC7C70"/>
    <w:rsid w:val="00CD1E4F"/>
    <w:rsid w:val="00CE3211"/>
    <w:rsid w:val="00CE430B"/>
    <w:rsid w:val="00CF1514"/>
    <w:rsid w:val="00CF5AB4"/>
    <w:rsid w:val="00D24EE3"/>
    <w:rsid w:val="00D250A3"/>
    <w:rsid w:val="00D46C8E"/>
    <w:rsid w:val="00D46CB6"/>
    <w:rsid w:val="00D53885"/>
    <w:rsid w:val="00D636BB"/>
    <w:rsid w:val="00D75166"/>
    <w:rsid w:val="00D83E30"/>
    <w:rsid w:val="00D846E0"/>
    <w:rsid w:val="00DB00C0"/>
    <w:rsid w:val="00DB32ED"/>
    <w:rsid w:val="00DD2678"/>
    <w:rsid w:val="00DE7219"/>
    <w:rsid w:val="00E13EA1"/>
    <w:rsid w:val="00E17458"/>
    <w:rsid w:val="00E25B5F"/>
    <w:rsid w:val="00E30438"/>
    <w:rsid w:val="00E31588"/>
    <w:rsid w:val="00E32B54"/>
    <w:rsid w:val="00E47E03"/>
    <w:rsid w:val="00E6188D"/>
    <w:rsid w:val="00E63567"/>
    <w:rsid w:val="00E7525E"/>
    <w:rsid w:val="00E83FBA"/>
    <w:rsid w:val="00E95122"/>
    <w:rsid w:val="00EA49EA"/>
    <w:rsid w:val="00EA5457"/>
    <w:rsid w:val="00EB11E4"/>
    <w:rsid w:val="00EC6A9D"/>
    <w:rsid w:val="00EC7930"/>
    <w:rsid w:val="00ED01B9"/>
    <w:rsid w:val="00ED4E34"/>
    <w:rsid w:val="00ED70FB"/>
    <w:rsid w:val="00EE01CD"/>
    <w:rsid w:val="00EE235B"/>
    <w:rsid w:val="00EF011E"/>
    <w:rsid w:val="00EF599E"/>
    <w:rsid w:val="00EF6B7B"/>
    <w:rsid w:val="00F11A85"/>
    <w:rsid w:val="00F1543B"/>
    <w:rsid w:val="00F46C1B"/>
    <w:rsid w:val="00F66557"/>
    <w:rsid w:val="00F96ECE"/>
    <w:rsid w:val="00FA1DFB"/>
    <w:rsid w:val="00FA4DA9"/>
    <w:rsid w:val="00FB2C59"/>
    <w:rsid w:val="00FD0237"/>
    <w:rsid w:val="00FD049F"/>
    <w:rsid w:val="00FE2BD6"/>
    <w:rsid w:val="00FF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2473"/>
  <w15:chartTrackingRefBased/>
  <w15:docId w15:val="{B88D149D-94D0-4D25-804A-40DB317D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FB"/>
    <w:rPr>
      <w:rFonts w:ascii="Arial" w:hAnsi="Arial" w:cs="Arial"/>
    </w:rPr>
  </w:style>
  <w:style w:type="paragraph" w:styleId="Heading1">
    <w:name w:val="heading 1"/>
    <w:basedOn w:val="Normal"/>
    <w:next w:val="Normal"/>
    <w:link w:val="Heading1Char"/>
    <w:uiPriority w:val="9"/>
    <w:qFormat/>
    <w:rsid w:val="00012025"/>
    <w:pPr>
      <w:spacing w:before="240" w:after="0" w:line="240" w:lineRule="auto"/>
      <w:outlineLvl w:val="0"/>
    </w:pPr>
    <w:rPr>
      <w:b/>
      <w:szCs w:val="24"/>
    </w:rPr>
  </w:style>
  <w:style w:type="paragraph" w:styleId="Heading2">
    <w:name w:val="heading 2"/>
    <w:next w:val="Normal"/>
    <w:link w:val="Heading2Char"/>
    <w:uiPriority w:val="9"/>
    <w:unhideWhenUsed/>
    <w:qFormat/>
    <w:rsid w:val="00C17DE8"/>
    <w:pPr>
      <w:keepNext/>
      <w:keepLines/>
      <w:spacing w:after="0"/>
      <w:ind w:left="10" w:hanging="10"/>
      <w:outlineLvl w:val="1"/>
    </w:pPr>
    <w:rPr>
      <w:rFonts w:ascii="Arial" w:eastAsia="Arial" w:hAnsi="Arial" w:cs="Arial"/>
      <w:b/>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C3"/>
    <w:pPr>
      <w:tabs>
        <w:tab w:val="center" w:pos="4513"/>
        <w:tab w:val="right" w:pos="9026"/>
      </w:tabs>
      <w:spacing w:before="120" w:after="0" w:line="240" w:lineRule="auto"/>
    </w:pPr>
    <w:rPr>
      <w:sz w:val="24"/>
      <w:szCs w:val="24"/>
    </w:rPr>
  </w:style>
  <w:style w:type="character" w:customStyle="1" w:styleId="HeaderChar">
    <w:name w:val="Header Char"/>
    <w:basedOn w:val="DefaultParagraphFont"/>
    <w:link w:val="Header"/>
    <w:uiPriority w:val="99"/>
    <w:rsid w:val="003E1DC3"/>
    <w:rPr>
      <w:rFonts w:ascii="Arial" w:hAnsi="Arial" w:cs="Arial"/>
      <w:sz w:val="24"/>
      <w:szCs w:val="24"/>
    </w:rPr>
  </w:style>
  <w:style w:type="table" w:styleId="TableGrid">
    <w:name w:val="Table Grid"/>
    <w:basedOn w:val="TableNormal"/>
    <w:uiPriority w:val="39"/>
    <w:rsid w:val="003E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DC3"/>
    <w:pPr>
      <w:spacing w:before="120" w:after="0" w:line="240" w:lineRule="auto"/>
      <w:ind w:left="720"/>
      <w:contextualSpacing/>
    </w:pPr>
    <w:rPr>
      <w:sz w:val="24"/>
      <w:szCs w:val="24"/>
    </w:rPr>
  </w:style>
  <w:style w:type="character" w:customStyle="1" w:styleId="Heading1Char">
    <w:name w:val="Heading 1 Char"/>
    <w:basedOn w:val="DefaultParagraphFont"/>
    <w:link w:val="Heading1"/>
    <w:uiPriority w:val="9"/>
    <w:rsid w:val="00012025"/>
    <w:rPr>
      <w:rFonts w:ascii="Arial" w:hAnsi="Arial" w:cs="Arial"/>
      <w:b/>
      <w:szCs w:val="24"/>
    </w:rPr>
  </w:style>
  <w:style w:type="paragraph" w:styleId="Footer">
    <w:name w:val="footer"/>
    <w:basedOn w:val="Normal"/>
    <w:link w:val="FooterChar"/>
    <w:uiPriority w:val="99"/>
    <w:unhideWhenUsed/>
    <w:rsid w:val="00C17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E8"/>
  </w:style>
  <w:style w:type="character" w:customStyle="1" w:styleId="Heading2Char">
    <w:name w:val="Heading 2 Char"/>
    <w:basedOn w:val="DefaultParagraphFont"/>
    <w:link w:val="Heading2"/>
    <w:uiPriority w:val="9"/>
    <w:rsid w:val="00C17DE8"/>
    <w:rPr>
      <w:rFonts w:ascii="Arial" w:eastAsia="Arial" w:hAnsi="Arial" w:cs="Arial"/>
      <w:b/>
      <w:i/>
      <w:color w:val="000000"/>
      <w:lang w:eastAsia="en-GB"/>
    </w:rPr>
  </w:style>
  <w:style w:type="character" w:styleId="CommentReference">
    <w:name w:val="annotation reference"/>
    <w:basedOn w:val="DefaultParagraphFont"/>
    <w:uiPriority w:val="99"/>
    <w:semiHidden/>
    <w:unhideWhenUsed/>
    <w:rsid w:val="009B0088"/>
    <w:rPr>
      <w:sz w:val="16"/>
      <w:szCs w:val="16"/>
    </w:rPr>
  </w:style>
  <w:style w:type="paragraph" w:styleId="CommentText">
    <w:name w:val="annotation text"/>
    <w:basedOn w:val="Normal"/>
    <w:link w:val="CommentTextChar"/>
    <w:uiPriority w:val="99"/>
    <w:semiHidden/>
    <w:unhideWhenUsed/>
    <w:rsid w:val="009B0088"/>
    <w:pPr>
      <w:spacing w:line="240" w:lineRule="auto"/>
    </w:pPr>
    <w:rPr>
      <w:sz w:val="20"/>
      <w:szCs w:val="20"/>
    </w:rPr>
  </w:style>
  <w:style w:type="character" w:customStyle="1" w:styleId="CommentTextChar">
    <w:name w:val="Comment Text Char"/>
    <w:basedOn w:val="DefaultParagraphFont"/>
    <w:link w:val="CommentText"/>
    <w:uiPriority w:val="99"/>
    <w:semiHidden/>
    <w:rsid w:val="009B008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0088"/>
    <w:rPr>
      <w:b/>
      <w:bCs/>
    </w:rPr>
  </w:style>
  <w:style w:type="character" w:customStyle="1" w:styleId="CommentSubjectChar">
    <w:name w:val="Comment Subject Char"/>
    <w:basedOn w:val="CommentTextChar"/>
    <w:link w:val="CommentSubject"/>
    <w:uiPriority w:val="99"/>
    <w:semiHidden/>
    <w:rsid w:val="009B008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058FA71CB554EB11D24A7060B84EE" ma:contentTypeVersion="" ma:contentTypeDescription="Create a new document." ma:contentTypeScope="" ma:versionID="58183cd4cf630a9a926730ab2a8720a6">
  <xsd:schema xmlns:xsd="http://www.w3.org/2001/XMLSchema" xmlns:xs="http://www.w3.org/2001/XMLSchema" xmlns:p="http://schemas.microsoft.com/office/2006/metadata/properties" xmlns:ns2="184C21E2-F569-46A1-8733-E790514B2B6E" xmlns:ns3="3a371346-73fb-45a1-a5e8-403752f850c9" targetNamespace="http://schemas.microsoft.com/office/2006/metadata/properties" ma:root="true" ma:fieldsID="4621f3c7c94c297d2d30f1010a681bb1" ns2:_="" ns3:_="">
    <xsd:import namespace="184C21E2-F569-46A1-8733-E790514B2B6E"/>
    <xsd:import namespace="3a371346-73fb-45a1-a5e8-403752f850c9"/>
    <xsd:element name="properties">
      <xsd:complexType>
        <xsd:sequence>
          <xsd:element name="documentManagement">
            <xsd:complexType>
              <xsd:all>
                <xsd:element ref="ns2:Meeting_x0020_Date"/>
                <xsd:element ref="ns3:Academic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C21E2-F569-46A1-8733-E790514B2B6E" elementFormDefault="qualified">
    <xsd:import namespace="http://schemas.microsoft.com/office/2006/documentManagement/types"/>
    <xsd:import namespace="http://schemas.microsoft.com/office/infopath/2007/PartnerControls"/>
    <xsd:element name="Meeting_x0020_Date" ma:index="8" ma:displayName="Meeting Date" ma:default="[today]"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71346-73fb-45a1-a5e8-403752f850c9" elementFormDefault="qualified">
    <xsd:import namespace="http://schemas.microsoft.com/office/2006/documentManagement/types"/>
    <xsd:import namespace="http://schemas.microsoft.com/office/infopath/2007/PartnerControls"/>
    <xsd:element name="Academic_x0020_Year" ma:index="9" ma:displayName="Academic Year" ma:default="2020 - 2021" ma:format="Dropdown" ma:internalName="Academic_x0020_Year">
      <xsd:simpleType>
        <xsd:restriction base="dms:Choice">
          <xsd:enumeration value="2005 - 2006"/>
          <xsd:enumeration value="2006 - 2007"/>
          <xsd:enumeration value="2007 - 2008"/>
          <xsd:enumeration value="2008 - 2009"/>
          <xsd:enumeration value="2009 -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ademic_x0020_Year xmlns="3a371346-73fb-45a1-a5e8-403752f850c9">2020 - 2021</Academic_x0020_Year>
    <Meeting_x0020_Date xmlns="184C21E2-F569-46A1-8733-E790514B2B6E">2021-06-29T23:00:00+00:00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97073-91C1-4E8A-9AA5-68F0BED8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C21E2-F569-46A1-8733-E790514B2B6E"/>
    <ds:schemaRef ds:uri="3a371346-73fb-45a1-a5e8-403752f85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A95A2-451A-4122-BB3B-698B180D4C9A}">
  <ds:schemaRefs>
    <ds:schemaRef ds:uri="http://schemas.microsoft.com/office/2006/metadata/properties"/>
    <ds:schemaRef ds:uri="http://schemas.microsoft.com/office/infopath/2007/PartnerControls"/>
    <ds:schemaRef ds:uri="3a371346-73fb-45a1-a5e8-403752f850c9"/>
    <ds:schemaRef ds:uri="184C21E2-F569-46A1-8733-E790514B2B6E"/>
  </ds:schemaRefs>
</ds:datastoreItem>
</file>

<file path=customXml/itemProps3.xml><?xml version="1.0" encoding="utf-8"?>
<ds:datastoreItem xmlns:ds="http://schemas.openxmlformats.org/officeDocument/2006/customXml" ds:itemID="{F390533B-DE6C-4915-A85C-52AC411B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Dick, Jon</cp:lastModifiedBy>
  <cp:revision>2</cp:revision>
  <dcterms:created xsi:type="dcterms:W3CDTF">2022-06-07T10:48:00Z</dcterms:created>
  <dcterms:modified xsi:type="dcterms:W3CDTF">2022-06-07T10:48:00Z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0x010100B4B058FA71CB554EB11D24A7060B84EE</vt:lpwstr>
  </property>
</Properties>
</file>