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8"/>
      </w:tblGrid>
      <w:tr w:rsidR="00E32B54" w14:paraId="23C3052D" w14:textId="77777777" w:rsidTr="0064504D">
        <w:tc>
          <w:tcPr>
            <w:tcW w:w="4429" w:type="dxa"/>
          </w:tcPr>
          <w:p w14:paraId="5D8404CF" w14:textId="77777777" w:rsidR="00E32B54" w:rsidRDefault="00E32B54" w:rsidP="0064504D">
            <w:pPr>
              <w:pStyle w:val="Header"/>
            </w:pPr>
            <w:r w:rsidRPr="005418F0">
              <w:rPr>
                <w:noProof/>
                <w:lang w:eastAsia="en-GB"/>
              </w:rPr>
              <w:drawing>
                <wp:inline distT="0" distB="0" distL="0" distR="0" wp14:anchorId="1831E5B0" wp14:editId="4D4542D7">
                  <wp:extent cx="2673350" cy="771576"/>
                  <wp:effectExtent l="0" t="0" r="0" b="9525"/>
                  <wp:docPr id="7" name="Picture 7"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mp; signatures\Logos\New LJMU_Master_Logo_Blue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9112" cy="779011"/>
                          </a:xfrm>
                          <a:prstGeom prst="rect">
                            <a:avLst/>
                          </a:prstGeom>
                          <a:noFill/>
                          <a:ln>
                            <a:noFill/>
                          </a:ln>
                        </pic:spPr>
                      </pic:pic>
                    </a:graphicData>
                  </a:graphic>
                </wp:inline>
              </w:drawing>
            </w:r>
          </w:p>
          <w:p w14:paraId="2CB9749C" w14:textId="77777777" w:rsidR="00E32B54" w:rsidRDefault="00E32B54" w:rsidP="0064504D">
            <w:pPr>
              <w:pStyle w:val="Header"/>
              <w:jc w:val="center"/>
            </w:pPr>
            <w:r>
              <w:t xml:space="preserve">Faculty of </w:t>
            </w:r>
            <w:r w:rsidRPr="000C12C2">
              <w:rPr>
                <w:b/>
              </w:rPr>
              <w:t>Science</w:t>
            </w:r>
          </w:p>
        </w:tc>
        <w:tc>
          <w:tcPr>
            <w:tcW w:w="4648" w:type="dxa"/>
          </w:tcPr>
          <w:p w14:paraId="61BB3E5D" w14:textId="77777777" w:rsidR="00E32B54" w:rsidRDefault="00E32B54" w:rsidP="0064504D">
            <w:pPr>
              <w:pStyle w:val="Header"/>
              <w:spacing w:before="60" w:after="60"/>
            </w:pPr>
            <w:r>
              <w:t>School of Sport Science, Employability Coordinator Annual Report 2020/21</w:t>
            </w:r>
            <w:r w:rsidRPr="00506E7E">
              <w:t xml:space="preserve"> </w:t>
            </w:r>
          </w:p>
          <w:p w14:paraId="675470BE" w14:textId="77777777" w:rsidR="00E32B54" w:rsidRDefault="00E32B54" w:rsidP="0064504D">
            <w:pPr>
              <w:pStyle w:val="Header"/>
              <w:spacing w:before="60" w:after="60"/>
            </w:pPr>
            <w:r>
              <w:t xml:space="preserve">Author: Vicci Boyd </w:t>
            </w:r>
          </w:p>
          <w:p w14:paraId="2D7605A3" w14:textId="77777777" w:rsidR="00E32B54" w:rsidRDefault="00E32B54" w:rsidP="0064504D">
            <w:pPr>
              <w:pStyle w:val="Header"/>
              <w:spacing w:before="60" w:after="60"/>
            </w:pPr>
            <w:r>
              <w:t>Date: 4/06/2021</w:t>
            </w:r>
          </w:p>
        </w:tc>
      </w:tr>
    </w:tbl>
    <w:p w14:paraId="0BAA435A" w14:textId="77777777" w:rsidR="00E32B54" w:rsidRPr="00E63567" w:rsidRDefault="00E32B54" w:rsidP="0064504D">
      <w:pPr>
        <w:pStyle w:val="Heading1"/>
        <w:rPr>
          <w:szCs w:val="22"/>
        </w:rPr>
      </w:pPr>
      <w:r w:rsidRPr="00E63567">
        <w:rPr>
          <w:szCs w:val="22"/>
        </w:rPr>
        <w:t>Introduction</w:t>
      </w:r>
    </w:p>
    <w:p w14:paraId="1DE6896C" w14:textId="77777777" w:rsidR="00E32B54" w:rsidRPr="00E63567" w:rsidRDefault="00E32B54" w:rsidP="0064504D"/>
    <w:p w14:paraId="3032B0C7" w14:textId="77777777" w:rsidR="00E32B54" w:rsidRPr="00E63567" w:rsidRDefault="00E32B54" w:rsidP="0064504D">
      <w:r w:rsidRPr="00E63567">
        <w:t xml:space="preserve">The pandemic has resulted in challenging and yet productive time to consider Employability and Enterprise across the school. The priorities for 2020/2021 were to establish and map the provision of support for Employability across the Institution and the familiarise with the LJMU Employability strategy with the aim of implementation. </w:t>
      </w:r>
    </w:p>
    <w:p w14:paraId="617DA58A" w14:textId="77777777" w:rsidR="00E32B54" w:rsidRPr="00E63567" w:rsidRDefault="00E32B54" w:rsidP="0064504D">
      <w:r w:rsidRPr="00E63567">
        <w:t xml:space="preserve">The employability coordinator role was taken up by myself, Vicci Boyd, just before the lockdown period and the specific aims were </w:t>
      </w:r>
      <w:proofErr w:type="gramStart"/>
      <w:r w:rsidRPr="00E63567">
        <w:t>to:-</w:t>
      </w:r>
      <w:proofErr w:type="gramEnd"/>
      <w:r w:rsidRPr="00E63567">
        <w:t xml:space="preserve"> </w:t>
      </w:r>
    </w:p>
    <w:p w14:paraId="2C449AB1" w14:textId="77777777" w:rsidR="00E32B54" w:rsidRPr="00E63567" w:rsidRDefault="00E32B54" w:rsidP="00E32B54">
      <w:pPr>
        <w:pStyle w:val="ListParagraph"/>
        <w:numPr>
          <w:ilvl w:val="0"/>
          <w:numId w:val="16"/>
        </w:numPr>
        <w:spacing w:before="0" w:after="120"/>
        <w:rPr>
          <w:sz w:val="22"/>
          <w:szCs w:val="22"/>
        </w:rPr>
      </w:pPr>
      <w:r w:rsidRPr="00E63567">
        <w:rPr>
          <w:sz w:val="22"/>
          <w:szCs w:val="22"/>
        </w:rPr>
        <w:t xml:space="preserve">Initially establish the connections and service provision across the school consider academic and professional services. </w:t>
      </w:r>
    </w:p>
    <w:p w14:paraId="5EEF3FEE" w14:textId="77777777" w:rsidR="00E32B54" w:rsidRPr="00E63567" w:rsidRDefault="00E32B54" w:rsidP="00E32B54">
      <w:pPr>
        <w:pStyle w:val="ListParagraph"/>
        <w:numPr>
          <w:ilvl w:val="0"/>
          <w:numId w:val="16"/>
        </w:numPr>
        <w:spacing w:before="0" w:after="120"/>
        <w:rPr>
          <w:sz w:val="22"/>
          <w:szCs w:val="22"/>
        </w:rPr>
      </w:pPr>
      <w:r w:rsidRPr="00E63567">
        <w:rPr>
          <w:sz w:val="22"/>
          <w:szCs w:val="22"/>
        </w:rPr>
        <w:t>Create a School based working group.</w:t>
      </w:r>
    </w:p>
    <w:p w14:paraId="1B74802E" w14:textId="77777777" w:rsidR="00E32B54" w:rsidRPr="00E63567" w:rsidRDefault="00E32B54" w:rsidP="00E32B54">
      <w:pPr>
        <w:pStyle w:val="ListParagraph"/>
        <w:numPr>
          <w:ilvl w:val="0"/>
          <w:numId w:val="16"/>
        </w:numPr>
        <w:spacing w:before="0" w:after="120"/>
        <w:rPr>
          <w:sz w:val="22"/>
          <w:szCs w:val="22"/>
        </w:rPr>
      </w:pPr>
      <w:r w:rsidRPr="00E63567">
        <w:rPr>
          <w:sz w:val="22"/>
          <w:szCs w:val="22"/>
        </w:rPr>
        <w:t xml:space="preserve">Understand the Employability in the curriculum culture across the different programmes in the school. </w:t>
      </w:r>
    </w:p>
    <w:p w14:paraId="5F661BB5" w14:textId="77777777" w:rsidR="00E32B54" w:rsidRPr="00E63567" w:rsidRDefault="00E32B54" w:rsidP="00E32B54">
      <w:pPr>
        <w:pStyle w:val="ListParagraph"/>
        <w:numPr>
          <w:ilvl w:val="0"/>
          <w:numId w:val="16"/>
        </w:numPr>
        <w:spacing w:before="0" w:after="120"/>
        <w:rPr>
          <w:sz w:val="22"/>
          <w:szCs w:val="22"/>
        </w:rPr>
      </w:pPr>
      <w:r w:rsidRPr="00E63567">
        <w:rPr>
          <w:sz w:val="22"/>
          <w:szCs w:val="22"/>
        </w:rPr>
        <w:t xml:space="preserve">Navigate the relationship building between the newly formed School of Sport and Exercise Science with the Marsh site and City site programmes merging into one school. </w:t>
      </w:r>
    </w:p>
    <w:p w14:paraId="6B41D507" w14:textId="77777777" w:rsidR="00E32B54" w:rsidRPr="00E63567" w:rsidRDefault="00E32B54" w:rsidP="00E32B54">
      <w:pPr>
        <w:pStyle w:val="ListParagraph"/>
        <w:numPr>
          <w:ilvl w:val="0"/>
          <w:numId w:val="16"/>
        </w:numPr>
        <w:spacing w:before="0" w:after="120"/>
        <w:rPr>
          <w:sz w:val="22"/>
          <w:szCs w:val="22"/>
        </w:rPr>
      </w:pPr>
      <w:r w:rsidRPr="00E63567">
        <w:rPr>
          <w:sz w:val="22"/>
          <w:szCs w:val="22"/>
        </w:rPr>
        <w:t xml:space="preserve">Attend </w:t>
      </w:r>
      <w:proofErr w:type="spellStart"/>
      <w:r w:rsidRPr="00E63567">
        <w:rPr>
          <w:sz w:val="22"/>
          <w:szCs w:val="22"/>
        </w:rPr>
        <w:t>SWEG</w:t>
      </w:r>
      <w:proofErr w:type="spellEnd"/>
      <w:r w:rsidRPr="00E63567">
        <w:rPr>
          <w:sz w:val="22"/>
          <w:szCs w:val="22"/>
        </w:rPr>
        <w:t xml:space="preserve"> meetings and disseminate material to all staff. </w:t>
      </w:r>
    </w:p>
    <w:p w14:paraId="57966B6C" w14:textId="77777777" w:rsidR="00E32B54" w:rsidRPr="00E63567" w:rsidRDefault="00E32B54" w:rsidP="0064504D"/>
    <w:p w14:paraId="40A3EE11" w14:textId="77777777" w:rsidR="00E32B54" w:rsidRPr="00E63567" w:rsidRDefault="00E32B54" w:rsidP="0064504D">
      <w:pPr>
        <w:pStyle w:val="Heading2"/>
      </w:pPr>
      <w:r w:rsidRPr="00E63567">
        <w:t xml:space="preserve">Activities in 2020/2021- </w:t>
      </w:r>
    </w:p>
    <w:p w14:paraId="6BF0E83A" w14:textId="77777777" w:rsidR="00E32B54" w:rsidRPr="00E63567" w:rsidRDefault="00E32B54" w:rsidP="0064504D"/>
    <w:p w14:paraId="1409E20C" w14:textId="77777777" w:rsidR="00E32B54" w:rsidRPr="00E63567" w:rsidRDefault="00E32B54" w:rsidP="0064504D">
      <w:pPr>
        <w:rPr>
          <w:u w:val="single"/>
        </w:rPr>
      </w:pPr>
      <w:r w:rsidRPr="00E63567">
        <w:rPr>
          <w:u w:val="single"/>
        </w:rPr>
        <w:t xml:space="preserve">School Wide student initiatives </w:t>
      </w:r>
    </w:p>
    <w:p w14:paraId="5A31AC44"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Supporting Champions subscription (National online programme for supporting performance sport). The school paid for a years’ subscription for all students to access. Sport Coaching and the Foundation Year for all programmes accessed this programme as core to the programme and all other students in the school were offered the programme to engage with. </w:t>
      </w:r>
    </w:p>
    <w:p w14:paraId="3EAA989A"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Future Focus was engaged with by all Level 4 students across the school. </w:t>
      </w:r>
    </w:p>
    <w:p w14:paraId="31AD1500"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Career Pulse- all school programmes engaged with this and embedded the too for Level 6 students. </w:t>
      </w:r>
    </w:p>
    <w:p w14:paraId="580B7EA9"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Autism Careers workshops- delivered with Keren Coney these are specifically designed with and for autistic students across the school (and University wide). As a pilot activity, this has been successful with 8 students attending each workshop and the recordings being distributed and watched by other students. </w:t>
      </w:r>
    </w:p>
    <w:p w14:paraId="4C06F52E"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Established (alongside Keren Coney, Careers Consultant) a Disability Employability group that is University Wide. </w:t>
      </w:r>
    </w:p>
    <w:p w14:paraId="41F8D31B"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Meetings with each programme to establish Programme provision of Employability at all levels- it was established that this is different across each programme and more equity, consistency and similarity is required but that remains contextualised. </w:t>
      </w:r>
    </w:p>
    <w:p w14:paraId="01C79425"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Dissemination of opportunities to all Canvas sites through Careers advisors and the Employability Coordinator. </w:t>
      </w:r>
    </w:p>
    <w:p w14:paraId="4FB3E647" w14:textId="77777777" w:rsidR="00E32B54" w:rsidRPr="00E63567" w:rsidRDefault="00E32B54" w:rsidP="0064504D">
      <w:pPr>
        <w:rPr>
          <w:u w:val="single"/>
        </w:rPr>
      </w:pPr>
      <w:r w:rsidRPr="00E63567">
        <w:rPr>
          <w:u w:val="single"/>
        </w:rPr>
        <w:lastRenderedPageBreak/>
        <w:t xml:space="preserve">School wide Staff initiatives </w:t>
      </w:r>
    </w:p>
    <w:p w14:paraId="4396161F"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Established a School based Employability and Professional Development working group </w:t>
      </w:r>
    </w:p>
    <w:p w14:paraId="6FDB856A" w14:textId="77777777" w:rsidR="00E32B54" w:rsidRPr="00E63567" w:rsidRDefault="00E32B54" w:rsidP="00E32B54">
      <w:pPr>
        <w:pStyle w:val="ListParagraph"/>
        <w:numPr>
          <w:ilvl w:val="1"/>
          <w:numId w:val="15"/>
        </w:numPr>
        <w:spacing w:before="0" w:after="120"/>
        <w:rPr>
          <w:sz w:val="22"/>
          <w:szCs w:val="22"/>
        </w:rPr>
      </w:pPr>
      <w:r w:rsidRPr="00E63567">
        <w:rPr>
          <w:sz w:val="22"/>
          <w:szCs w:val="22"/>
        </w:rPr>
        <w:t xml:space="preserve">2 meetings to date and a core team consisting of at least 1 member of staff from each programme, the Career support team and Placement support Unit </w:t>
      </w:r>
    </w:p>
    <w:p w14:paraId="539A31C3"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Clear and transparent support offered and provided to programmes via the Employability Coordinator and a furthering of communication channels for professional services and academics to work collaboratively and consistently </w:t>
      </w:r>
    </w:p>
    <w:p w14:paraId="5D73E23A"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Revalidation plans for a strategic approach to revalidation and a strong and clear strand of Professional Development through each programme in the school. </w:t>
      </w:r>
    </w:p>
    <w:p w14:paraId="41BAA37C" w14:textId="77777777" w:rsidR="00E32B54" w:rsidRPr="00E63567" w:rsidRDefault="00E32B54" w:rsidP="00E63567">
      <w:pPr>
        <w:spacing w:after="120"/>
        <w:ind w:left="720"/>
      </w:pPr>
    </w:p>
    <w:p w14:paraId="301EB2C6" w14:textId="77777777" w:rsidR="00E32B54" w:rsidRPr="00E63567" w:rsidRDefault="00E32B54" w:rsidP="0064504D"/>
    <w:p w14:paraId="24BD30E5" w14:textId="77777777" w:rsidR="00E32B54" w:rsidRPr="00E63567" w:rsidRDefault="00E32B54" w:rsidP="0064504D">
      <w:pPr>
        <w:rPr>
          <w:b/>
          <w:bCs/>
        </w:rPr>
      </w:pPr>
      <w:r w:rsidRPr="00E63567">
        <w:rPr>
          <w:b/>
          <w:bCs/>
        </w:rPr>
        <w:t xml:space="preserve">Programme level - </w:t>
      </w:r>
    </w:p>
    <w:p w14:paraId="0909884D"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Sport coaching, UK Coaching memberships to enhance programme content. </w:t>
      </w:r>
    </w:p>
    <w:p w14:paraId="4DBEB3E9"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Level 2 Coaching Qualification – currently available to Sport Coaching programme but will be available for all Sport Programmes from 2021. </w:t>
      </w:r>
    </w:p>
    <w:p w14:paraId="2808C57E" w14:textId="77777777" w:rsidR="00E32B54" w:rsidRPr="00E63567" w:rsidRDefault="00E32B54" w:rsidP="00E32B54">
      <w:pPr>
        <w:pStyle w:val="ListParagraph"/>
        <w:numPr>
          <w:ilvl w:val="0"/>
          <w:numId w:val="15"/>
        </w:numPr>
        <w:spacing w:before="0" w:after="120"/>
        <w:rPr>
          <w:sz w:val="22"/>
          <w:szCs w:val="22"/>
        </w:rPr>
      </w:pPr>
      <w:proofErr w:type="spellStart"/>
      <w:r w:rsidRPr="00E63567">
        <w:rPr>
          <w:sz w:val="22"/>
          <w:szCs w:val="22"/>
        </w:rPr>
        <w:t>CIMSPA</w:t>
      </w:r>
      <w:proofErr w:type="spellEnd"/>
      <w:r w:rsidRPr="00E63567">
        <w:rPr>
          <w:sz w:val="22"/>
          <w:szCs w:val="22"/>
        </w:rPr>
        <w:t xml:space="preserve"> Accreditation for Sport Programmes (including </w:t>
      </w:r>
      <w:proofErr w:type="gramStart"/>
      <w:r w:rsidRPr="00E63567">
        <w:rPr>
          <w:sz w:val="22"/>
          <w:szCs w:val="22"/>
        </w:rPr>
        <w:t>Masters</w:t>
      </w:r>
      <w:proofErr w:type="gramEnd"/>
      <w:r w:rsidRPr="00E63567">
        <w:rPr>
          <w:sz w:val="22"/>
          <w:szCs w:val="22"/>
        </w:rPr>
        <w:t xml:space="preserve"> programme)</w:t>
      </w:r>
    </w:p>
    <w:p w14:paraId="738D3010"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Nutrition suite of programmes – Accreditation </w:t>
      </w:r>
    </w:p>
    <w:p w14:paraId="0A79C5FC"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Guest speakers</w:t>
      </w:r>
    </w:p>
    <w:p w14:paraId="7CAD04DF"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Engagement with Professional Services and careers team and volunteering events. </w:t>
      </w:r>
    </w:p>
    <w:p w14:paraId="14A0E549"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Promotion and engagement with Careers workshops. Careers events </w:t>
      </w:r>
    </w:p>
    <w:p w14:paraId="7B88E82C"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Mapping of all programme content in-line with the LJMU Employability strategic plan </w:t>
      </w:r>
      <w:proofErr w:type="gramStart"/>
      <w:r w:rsidRPr="00E63567">
        <w:rPr>
          <w:sz w:val="22"/>
          <w:szCs w:val="22"/>
        </w:rPr>
        <w:t>( Completion</w:t>
      </w:r>
      <w:proofErr w:type="gramEnd"/>
      <w:r w:rsidRPr="00E63567">
        <w:rPr>
          <w:sz w:val="22"/>
          <w:szCs w:val="22"/>
        </w:rPr>
        <w:t xml:space="preserve"> June 2021) </w:t>
      </w:r>
    </w:p>
    <w:p w14:paraId="4E3FEB33" w14:textId="77777777" w:rsidR="00E32B54" w:rsidRPr="00E63567" w:rsidRDefault="00E32B54" w:rsidP="00E32B54">
      <w:pPr>
        <w:pStyle w:val="ListParagraph"/>
        <w:numPr>
          <w:ilvl w:val="0"/>
          <w:numId w:val="15"/>
        </w:numPr>
        <w:spacing w:before="0" w:after="120"/>
        <w:rPr>
          <w:sz w:val="22"/>
          <w:szCs w:val="22"/>
        </w:rPr>
      </w:pPr>
    </w:p>
    <w:p w14:paraId="052EF041" w14:textId="77777777" w:rsidR="00E32B54" w:rsidRPr="00E63567" w:rsidRDefault="00E32B54" w:rsidP="0064504D">
      <w:pPr>
        <w:pStyle w:val="Heading2"/>
      </w:pPr>
      <w:r w:rsidRPr="00E63567">
        <w:t xml:space="preserve">School Connections – </w:t>
      </w:r>
    </w:p>
    <w:p w14:paraId="74C3903A"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Employability Coordinator has involvement with School based EDI initiatives to establish a presence and connectivity between the two Institutional agendas. </w:t>
      </w:r>
    </w:p>
    <w:p w14:paraId="0D80FE21"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School Working group to move the Employability agenda forward.</w:t>
      </w:r>
    </w:p>
    <w:p w14:paraId="28A1F19C"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Working with the Careers team to embed a plan considering the career readiness data for each programme. </w:t>
      </w:r>
    </w:p>
    <w:p w14:paraId="67BEBB4C" w14:textId="77777777" w:rsidR="00E32B54" w:rsidRPr="00E63567" w:rsidRDefault="00E32B54" w:rsidP="00E32B54">
      <w:pPr>
        <w:pStyle w:val="ListParagraph"/>
        <w:numPr>
          <w:ilvl w:val="0"/>
          <w:numId w:val="15"/>
        </w:numPr>
        <w:spacing w:before="0" w:after="120"/>
        <w:rPr>
          <w:sz w:val="22"/>
          <w:szCs w:val="22"/>
        </w:rPr>
      </w:pPr>
      <w:r w:rsidRPr="00E63567">
        <w:rPr>
          <w:sz w:val="22"/>
          <w:szCs w:val="22"/>
        </w:rPr>
        <w:t xml:space="preserve">External engagement officer working alongside Employability Coordinator and Careers Team director to understand the graduate Outcome data and highly skilled roles. </w:t>
      </w:r>
    </w:p>
    <w:p w14:paraId="1B243358" w14:textId="77777777" w:rsidR="00E32B54" w:rsidRPr="00E63567" w:rsidRDefault="00E32B54" w:rsidP="0064504D">
      <w:pPr>
        <w:pStyle w:val="ListParagraph"/>
        <w:ind w:left="1080"/>
        <w:rPr>
          <w:sz w:val="22"/>
          <w:szCs w:val="22"/>
        </w:rPr>
      </w:pPr>
    </w:p>
    <w:p w14:paraId="486C4388" w14:textId="06A56CB1" w:rsidR="00E32B54" w:rsidRPr="00E63567" w:rsidRDefault="00E32B54" w:rsidP="0064504D">
      <w:pPr>
        <w:pStyle w:val="Heading1"/>
        <w:rPr>
          <w:szCs w:val="22"/>
        </w:rPr>
      </w:pPr>
      <w:r w:rsidRPr="00E63567">
        <w:rPr>
          <w:szCs w:val="22"/>
        </w:rPr>
        <w:t xml:space="preserve">Summary – Engagement with LJMU Employability and Careers Provision </w:t>
      </w:r>
    </w:p>
    <w:p w14:paraId="134776FA" w14:textId="77777777" w:rsidR="00E32B54" w:rsidRPr="00E63567" w:rsidRDefault="00E32B54" w:rsidP="00E32B54"/>
    <w:p w14:paraId="7C679ADC" w14:textId="77777777" w:rsidR="00E32B54" w:rsidRPr="00E63567" w:rsidRDefault="00E32B54" w:rsidP="00E32B54">
      <w:pPr>
        <w:pStyle w:val="ListParagraph"/>
        <w:numPr>
          <w:ilvl w:val="0"/>
          <w:numId w:val="18"/>
        </w:numPr>
        <w:spacing w:before="0" w:after="120"/>
        <w:rPr>
          <w:sz w:val="22"/>
          <w:szCs w:val="22"/>
        </w:rPr>
      </w:pPr>
      <w:r w:rsidRPr="00E63567">
        <w:rPr>
          <w:sz w:val="22"/>
          <w:szCs w:val="22"/>
        </w:rPr>
        <w:t xml:space="preserve">1:1 Employability advisors appointments attended </w:t>
      </w:r>
    </w:p>
    <w:p w14:paraId="2DACDDB0" w14:textId="77777777" w:rsidR="00E32B54" w:rsidRPr="00E63567" w:rsidRDefault="00E32B54" w:rsidP="0064504D"/>
    <w:tbl>
      <w:tblPr>
        <w:tblStyle w:val="TableGrid"/>
        <w:tblW w:w="0" w:type="auto"/>
        <w:tblLook w:val="04A0" w:firstRow="1" w:lastRow="0" w:firstColumn="1" w:lastColumn="0" w:noHBand="0" w:noVBand="1"/>
      </w:tblPr>
      <w:tblGrid>
        <w:gridCol w:w="2461"/>
        <w:gridCol w:w="681"/>
        <w:gridCol w:w="618"/>
        <w:gridCol w:w="618"/>
        <w:gridCol w:w="618"/>
        <w:gridCol w:w="618"/>
        <w:gridCol w:w="618"/>
        <w:gridCol w:w="618"/>
        <w:gridCol w:w="1072"/>
        <w:gridCol w:w="1094"/>
      </w:tblGrid>
      <w:tr w:rsidR="00E32B54" w:rsidRPr="00E63567" w14:paraId="768AFC18" w14:textId="77777777" w:rsidTr="0064504D">
        <w:trPr>
          <w:trHeight w:val="310"/>
        </w:trPr>
        <w:tc>
          <w:tcPr>
            <w:tcW w:w="2750" w:type="dxa"/>
            <w:noWrap/>
            <w:hideMark/>
          </w:tcPr>
          <w:p w14:paraId="5BC174D7" w14:textId="77777777" w:rsidR="00E32B54" w:rsidRPr="00E63567" w:rsidRDefault="00E32B54" w:rsidP="0064504D"/>
        </w:tc>
        <w:tc>
          <w:tcPr>
            <w:tcW w:w="654" w:type="dxa"/>
            <w:noWrap/>
            <w:hideMark/>
          </w:tcPr>
          <w:p w14:paraId="27AC3605" w14:textId="77777777" w:rsidR="00E32B54" w:rsidRPr="00E63567" w:rsidRDefault="00E32B54" w:rsidP="0064504D">
            <w:pPr>
              <w:rPr>
                <w:b/>
                <w:bCs/>
              </w:rPr>
            </w:pPr>
            <w:r w:rsidRPr="00E63567">
              <w:rPr>
                <w:b/>
                <w:bCs/>
              </w:rPr>
              <w:t>Total</w:t>
            </w:r>
          </w:p>
        </w:tc>
        <w:tc>
          <w:tcPr>
            <w:tcW w:w="654" w:type="dxa"/>
            <w:noWrap/>
            <w:hideMark/>
          </w:tcPr>
          <w:p w14:paraId="14A13676" w14:textId="77777777" w:rsidR="00E32B54" w:rsidRPr="00E63567" w:rsidRDefault="00E32B54">
            <w:pPr>
              <w:rPr>
                <w:b/>
                <w:bCs/>
              </w:rPr>
            </w:pPr>
            <w:r w:rsidRPr="00E63567">
              <w:rPr>
                <w:b/>
                <w:bCs/>
              </w:rPr>
              <w:t>NQ3</w:t>
            </w:r>
          </w:p>
        </w:tc>
        <w:tc>
          <w:tcPr>
            <w:tcW w:w="654" w:type="dxa"/>
            <w:noWrap/>
            <w:hideMark/>
          </w:tcPr>
          <w:p w14:paraId="07B2FBC7" w14:textId="77777777" w:rsidR="00E32B54" w:rsidRPr="00E63567" w:rsidRDefault="00E32B54">
            <w:pPr>
              <w:rPr>
                <w:b/>
                <w:bCs/>
              </w:rPr>
            </w:pPr>
            <w:r w:rsidRPr="00E63567">
              <w:rPr>
                <w:b/>
                <w:bCs/>
              </w:rPr>
              <w:t>NQ4</w:t>
            </w:r>
          </w:p>
        </w:tc>
        <w:tc>
          <w:tcPr>
            <w:tcW w:w="654" w:type="dxa"/>
            <w:noWrap/>
            <w:hideMark/>
          </w:tcPr>
          <w:p w14:paraId="7871A987" w14:textId="77777777" w:rsidR="00E32B54" w:rsidRPr="00E63567" w:rsidRDefault="00E32B54">
            <w:pPr>
              <w:rPr>
                <w:b/>
                <w:bCs/>
              </w:rPr>
            </w:pPr>
            <w:r w:rsidRPr="00E63567">
              <w:rPr>
                <w:b/>
                <w:bCs/>
              </w:rPr>
              <w:t>NQ5</w:t>
            </w:r>
          </w:p>
        </w:tc>
        <w:tc>
          <w:tcPr>
            <w:tcW w:w="654" w:type="dxa"/>
            <w:noWrap/>
            <w:hideMark/>
          </w:tcPr>
          <w:p w14:paraId="3B818EA3" w14:textId="77777777" w:rsidR="00E32B54" w:rsidRPr="00E63567" w:rsidRDefault="00E32B54">
            <w:pPr>
              <w:rPr>
                <w:b/>
                <w:bCs/>
              </w:rPr>
            </w:pPr>
            <w:r w:rsidRPr="00E63567">
              <w:rPr>
                <w:b/>
                <w:bCs/>
              </w:rPr>
              <w:t>NQ6</w:t>
            </w:r>
          </w:p>
        </w:tc>
        <w:tc>
          <w:tcPr>
            <w:tcW w:w="654" w:type="dxa"/>
            <w:noWrap/>
            <w:hideMark/>
          </w:tcPr>
          <w:p w14:paraId="7449E0F3" w14:textId="77777777" w:rsidR="00E32B54" w:rsidRPr="00E63567" w:rsidRDefault="00E32B54">
            <w:pPr>
              <w:rPr>
                <w:b/>
                <w:bCs/>
              </w:rPr>
            </w:pPr>
            <w:r w:rsidRPr="00E63567">
              <w:rPr>
                <w:b/>
                <w:bCs/>
              </w:rPr>
              <w:t>NQ7</w:t>
            </w:r>
          </w:p>
        </w:tc>
        <w:tc>
          <w:tcPr>
            <w:tcW w:w="654" w:type="dxa"/>
            <w:noWrap/>
            <w:hideMark/>
          </w:tcPr>
          <w:p w14:paraId="5147AD08" w14:textId="77777777" w:rsidR="00E32B54" w:rsidRPr="00E63567" w:rsidRDefault="00E32B54">
            <w:pPr>
              <w:rPr>
                <w:b/>
                <w:bCs/>
              </w:rPr>
            </w:pPr>
            <w:r w:rsidRPr="00E63567">
              <w:rPr>
                <w:b/>
                <w:bCs/>
              </w:rPr>
              <w:t>NQ8</w:t>
            </w:r>
          </w:p>
        </w:tc>
        <w:tc>
          <w:tcPr>
            <w:tcW w:w="836" w:type="dxa"/>
            <w:noWrap/>
            <w:hideMark/>
          </w:tcPr>
          <w:p w14:paraId="45C5F555" w14:textId="77777777" w:rsidR="00E32B54" w:rsidRPr="00E63567" w:rsidRDefault="00E32B54">
            <w:pPr>
              <w:rPr>
                <w:b/>
                <w:bCs/>
              </w:rPr>
            </w:pPr>
            <w:r w:rsidRPr="00E63567">
              <w:rPr>
                <w:b/>
                <w:bCs/>
              </w:rPr>
              <w:t>Graduate</w:t>
            </w:r>
          </w:p>
        </w:tc>
        <w:tc>
          <w:tcPr>
            <w:tcW w:w="852" w:type="dxa"/>
            <w:noWrap/>
            <w:hideMark/>
          </w:tcPr>
          <w:p w14:paraId="56618728" w14:textId="77777777" w:rsidR="00E32B54" w:rsidRPr="00E63567" w:rsidRDefault="00E32B54">
            <w:pPr>
              <w:rPr>
                <w:b/>
                <w:bCs/>
              </w:rPr>
            </w:pPr>
            <w:r w:rsidRPr="00E63567">
              <w:rPr>
                <w:b/>
                <w:bCs/>
              </w:rPr>
              <w:t>Unknown</w:t>
            </w:r>
          </w:p>
        </w:tc>
      </w:tr>
      <w:tr w:rsidR="00E32B54" w:rsidRPr="00E63567" w14:paraId="69E31FC7" w14:textId="77777777" w:rsidTr="0064504D">
        <w:trPr>
          <w:trHeight w:val="290"/>
        </w:trPr>
        <w:tc>
          <w:tcPr>
            <w:tcW w:w="2750" w:type="dxa"/>
            <w:noWrap/>
            <w:hideMark/>
          </w:tcPr>
          <w:p w14:paraId="4CF61A81" w14:textId="77777777" w:rsidR="00E32B54" w:rsidRPr="00E63567" w:rsidRDefault="00E32B54" w:rsidP="0064504D">
            <w:pPr>
              <w:rPr>
                <w:b/>
                <w:bCs/>
                <w:u w:val="single"/>
              </w:rPr>
            </w:pPr>
            <w:r w:rsidRPr="00E63567">
              <w:rPr>
                <w:b/>
                <w:bCs/>
                <w:u w:val="single"/>
              </w:rPr>
              <w:t>Faculty of Science</w:t>
            </w:r>
          </w:p>
        </w:tc>
        <w:tc>
          <w:tcPr>
            <w:tcW w:w="654" w:type="dxa"/>
            <w:noWrap/>
            <w:hideMark/>
          </w:tcPr>
          <w:p w14:paraId="1863B563" w14:textId="77777777" w:rsidR="00E32B54" w:rsidRPr="00E63567" w:rsidRDefault="00E32B54" w:rsidP="0064504D">
            <w:pPr>
              <w:rPr>
                <w:b/>
                <w:bCs/>
                <w:u w:val="single"/>
              </w:rPr>
            </w:pPr>
            <w:r w:rsidRPr="00E63567">
              <w:rPr>
                <w:b/>
                <w:bCs/>
                <w:u w:val="single"/>
              </w:rPr>
              <w:t>210</w:t>
            </w:r>
          </w:p>
        </w:tc>
        <w:tc>
          <w:tcPr>
            <w:tcW w:w="654" w:type="dxa"/>
            <w:noWrap/>
            <w:hideMark/>
          </w:tcPr>
          <w:p w14:paraId="4432475E" w14:textId="77777777" w:rsidR="00E32B54" w:rsidRPr="00E63567" w:rsidRDefault="00E32B54" w:rsidP="0064504D">
            <w:pPr>
              <w:rPr>
                <w:b/>
                <w:bCs/>
                <w:u w:val="single"/>
              </w:rPr>
            </w:pPr>
            <w:r w:rsidRPr="00E63567">
              <w:rPr>
                <w:b/>
                <w:bCs/>
                <w:u w:val="single"/>
              </w:rPr>
              <w:t>0</w:t>
            </w:r>
          </w:p>
        </w:tc>
        <w:tc>
          <w:tcPr>
            <w:tcW w:w="654" w:type="dxa"/>
            <w:noWrap/>
            <w:hideMark/>
          </w:tcPr>
          <w:p w14:paraId="57E8C806" w14:textId="77777777" w:rsidR="00E32B54" w:rsidRPr="00E63567" w:rsidRDefault="00E32B54" w:rsidP="0064504D">
            <w:pPr>
              <w:rPr>
                <w:b/>
                <w:bCs/>
                <w:u w:val="single"/>
              </w:rPr>
            </w:pPr>
            <w:r w:rsidRPr="00E63567">
              <w:rPr>
                <w:b/>
                <w:bCs/>
                <w:u w:val="single"/>
              </w:rPr>
              <w:t>13</w:t>
            </w:r>
          </w:p>
        </w:tc>
        <w:tc>
          <w:tcPr>
            <w:tcW w:w="654" w:type="dxa"/>
            <w:noWrap/>
            <w:hideMark/>
          </w:tcPr>
          <w:p w14:paraId="184E7715" w14:textId="77777777" w:rsidR="00E32B54" w:rsidRPr="00E63567" w:rsidRDefault="00E32B54" w:rsidP="0064504D">
            <w:pPr>
              <w:rPr>
                <w:b/>
                <w:bCs/>
                <w:u w:val="single"/>
              </w:rPr>
            </w:pPr>
            <w:r w:rsidRPr="00E63567">
              <w:rPr>
                <w:b/>
                <w:bCs/>
                <w:u w:val="single"/>
              </w:rPr>
              <w:t>39</w:t>
            </w:r>
          </w:p>
        </w:tc>
        <w:tc>
          <w:tcPr>
            <w:tcW w:w="654" w:type="dxa"/>
            <w:noWrap/>
            <w:hideMark/>
          </w:tcPr>
          <w:p w14:paraId="153B1F7F" w14:textId="77777777" w:rsidR="00E32B54" w:rsidRPr="00E63567" w:rsidRDefault="00E32B54" w:rsidP="0064504D">
            <w:pPr>
              <w:rPr>
                <w:b/>
                <w:bCs/>
                <w:u w:val="single"/>
              </w:rPr>
            </w:pPr>
            <w:r w:rsidRPr="00E63567">
              <w:rPr>
                <w:b/>
                <w:bCs/>
                <w:u w:val="single"/>
              </w:rPr>
              <w:t>90</w:t>
            </w:r>
          </w:p>
        </w:tc>
        <w:tc>
          <w:tcPr>
            <w:tcW w:w="654" w:type="dxa"/>
            <w:noWrap/>
            <w:hideMark/>
          </w:tcPr>
          <w:p w14:paraId="18340DD3" w14:textId="77777777" w:rsidR="00E32B54" w:rsidRPr="00E63567" w:rsidRDefault="00E32B54" w:rsidP="0064504D">
            <w:pPr>
              <w:rPr>
                <w:b/>
                <w:bCs/>
                <w:u w:val="single"/>
              </w:rPr>
            </w:pPr>
            <w:r w:rsidRPr="00E63567">
              <w:rPr>
                <w:b/>
                <w:bCs/>
                <w:u w:val="single"/>
              </w:rPr>
              <w:t>19</w:t>
            </w:r>
          </w:p>
        </w:tc>
        <w:tc>
          <w:tcPr>
            <w:tcW w:w="654" w:type="dxa"/>
            <w:noWrap/>
            <w:hideMark/>
          </w:tcPr>
          <w:p w14:paraId="20032475" w14:textId="77777777" w:rsidR="00E32B54" w:rsidRPr="00E63567" w:rsidRDefault="00E32B54" w:rsidP="0064504D">
            <w:pPr>
              <w:rPr>
                <w:b/>
                <w:bCs/>
                <w:u w:val="single"/>
              </w:rPr>
            </w:pPr>
            <w:r w:rsidRPr="00E63567">
              <w:rPr>
                <w:b/>
                <w:bCs/>
                <w:u w:val="single"/>
              </w:rPr>
              <w:t>15</w:t>
            </w:r>
          </w:p>
        </w:tc>
        <w:tc>
          <w:tcPr>
            <w:tcW w:w="836" w:type="dxa"/>
            <w:noWrap/>
            <w:hideMark/>
          </w:tcPr>
          <w:p w14:paraId="339A56F3" w14:textId="77777777" w:rsidR="00E32B54" w:rsidRPr="00E63567" w:rsidRDefault="00E32B54" w:rsidP="0064504D">
            <w:pPr>
              <w:rPr>
                <w:b/>
                <w:bCs/>
                <w:u w:val="single"/>
              </w:rPr>
            </w:pPr>
            <w:r w:rsidRPr="00E63567">
              <w:rPr>
                <w:b/>
                <w:bCs/>
                <w:u w:val="single"/>
              </w:rPr>
              <w:t>33</w:t>
            </w:r>
          </w:p>
        </w:tc>
        <w:tc>
          <w:tcPr>
            <w:tcW w:w="852" w:type="dxa"/>
            <w:noWrap/>
            <w:hideMark/>
          </w:tcPr>
          <w:p w14:paraId="430675D4" w14:textId="77777777" w:rsidR="00E32B54" w:rsidRPr="00E63567" w:rsidRDefault="00E32B54" w:rsidP="0064504D">
            <w:pPr>
              <w:rPr>
                <w:b/>
                <w:bCs/>
                <w:u w:val="single"/>
              </w:rPr>
            </w:pPr>
            <w:r w:rsidRPr="00E63567">
              <w:rPr>
                <w:b/>
                <w:bCs/>
                <w:u w:val="single"/>
              </w:rPr>
              <w:t>1</w:t>
            </w:r>
          </w:p>
        </w:tc>
      </w:tr>
      <w:tr w:rsidR="00E32B54" w:rsidRPr="00E63567" w14:paraId="02166DB1" w14:textId="77777777" w:rsidTr="0064504D">
        <w:trPr>
          <w:trHeight w:val="290"/>
        </w:trPr>
        <w:tc>
          <w:tcPr>
            <w:tcW w:w="2750" w:type="dxa"/>
            <w:noWrap/>
            <w:hideMark/>
          </w:tcPr>
          <w:p w14:paraId="4947065C" w14:textId="77777777" w:rsidR="00E32B54" w:rsidRPr="00E63567" w:rsidRDefault="00E32B54" w:rsidP="0064504D">
            <w:r w:rsidRPr="00E63567">
              <w:t>School of Sport and Exercise Sciences</w:t>
            </w:r>
          </w:p>
        </w:tc>
        <w:tc>
          <w:tcPr>
            <w:tcW w:w="654" w:type="dxa"/>
            <w:noWrap/>
            <w:hideMark/>
          </w:tcPr>
          <w:p w14:paraId="44CBD4EF" w14:textId="77777777" w:rsidR="00E32B54" w:rsidRPr="00E63567" w:rsidRDefault="00E32B54" w:rsidP="0064504D">
            <w:pPr>
              <w:rPr>
                <w:b/>
                <w:bCs/>
              </w:rPr>
            </w:pPr>
            <w:r w:rsidRPr="00E63567">
              <w:rPr>
                <w:b/>
                <w:bCs/>
              </w:rPr>
              <w:t>74</w:t>
            </w:r>
          </w:p>
        </w:tc>
        <w:tc>
          <w:tcPr>
            <w:tcW w:w="654" w:type="dxa"/>
            <w:noWrap/>
            <w:hideMark/>
          </w:tcPr>
          <w:p w14:paraId="5AB4A2AC" w14:textId="77777777" w:rsidR="00E32B54" w:rsidRPr="00E63567" w:rsidRDefault="00E32B54" w:rsidP="0064504D">
            <w:r w:rsidRPr="00E63567">
              <w:t>0</w:t>
            </w:r>
          </w:p>
        </w:tc>
        <w:tc>
          <w:tcPr>
            <w:tcW w:w="654" w:type="dxa"/>
            <w:noWrap/>
            <w:hideMark/>
          </w:tcPr>
          <w:p w14:paraId="5ED1961F" w14:textId="77777777" w:rsidR="00E32B54" w:rsidRPr="00E63567" w:rsidRDefault="00E32B54" w:rsidP="0064504D">
            <w:r w:rsidRPr="00E63567">
              <w:t>4</w:t>
            </w:r>
          </w:p>
        </w:tc>
        <w:tc>
          <w:tcPr>
            <w:tcW w:w="654" w:type="dxa"/>
            <w:noWrap/>
            <w:hideMark/>
          </w:tcPr>
          <w:p w14:paraId="297903D9" w14:textId="77777777" w:rsidR="00E32B54" w:rsidRPr="00E63567" w:rsidRDefault="00E32B54" w:rsidP="0064504D">
            <w:r w:rsidRPr="00E63567">
              <w:t>7</w:t>
            </w:r>
          </w:p>
        </w:tc>
        <w:tc>
          <w:tcPr>
            <w:tcW w:w="654" w:type="dxa"/>
            <w:noWrap/>
            <w:hideMark/>
          </w:tcPr>
          <w:p w14:paraId="2295547B" w14:textId="77777777" w:rsidR="00E32B54" w:rsidRPr="00E63567" w:rsidRDefault="00E32B54" w:rsidP="0064504D">
            <w:r w:rsidRPr="00E63567">
              <w:t>37</w:t>
            </w:r>
          </w:p>
        </w:tc>
        <w:tc>
          <w:tcPr>
            <w:tcW w:w="654" w:type="dxa"/>
            <w:noWrap/>
            <w:hideMark/>
          </w:tcPr>
          <w:p w14:paraId="55D6B272" w14:textId="77777777" w:rsidR="00E32B54" w:rsidRPr="00E63567" w:rsidRDefault="00E32B54" w:rsidP="0064504D">
            <w:r w:rsidRPr="00E63567">
              <w:t>12</w:t>
            </w:r>
          </w:p>
        </w:tc>
        <w:tc>
          <w:tcPr>
            <w:tcW w:w="654" w:type="dxa"/>
            <w:noWrap/>
            <w:hideMark/>
          </w:tcPr>
          <w:p w14:paraId="2888AF5C" w14:textId="77777777" w:rsidR="00E32B54" w:rsidRPr="00E63567" w:rsidRDefault="00E32B54" w:rsidP="0064504D">
            <w:r w:rsidRPr="00E63567">
              <w:t>1</w:t>
            </w:r>
          </w:p>
        </w:tc>
        <w:tc>
          <w:tcPr>
            <w:tcW w:w="836" w:type="dxa"/>
            <w:noWrap/>
            <w:hideMark/>
          </w:tcPr>
          <w:p w14:paraId="1EBC1E23" w14:textId="77777777" w:rsidR="00E32B54" w:rsidRPr="00E63567" w:rsidRDefault="00E32B54" w:rsidP="0064504D">
            <w:r w:rsidRPr="00E63567">
              <w:t>13</w:t>
            </w:r>
          </w:p>
        </w:tc>
        <w:tc>
          <w:tcPr>
            <w:tcW w:w="852" w:type="dxa"/>
            <w:noWrap/>
            <w:hideMark/>
          </w:tcPr>
          <w:p w14:paraId="31DCE3A8" w14:textId="77777777" w:rsidR="00E32B54" w:rsidRPr="00E63567" w:rsidRDefault="00E32B54" w:rsidP="0064504D">
            <w:r w:rsidRPr="00E63567">
              <w:t>0</w:t>
            </w:r>
          </w:p>
        </w:tc>
      </w:tr>
    </w:tbl>
    <w:p w14:paraId="317AC19F" w14:textId="77777777" w:rsidR="00E32B54" w:rsidRPr="00E63567" w:rsidRDefault="00E32B54" w:rsidP="0064504D"/>
    <w:p w14:paraId="04C718BE" w14:textId="77777777" w:rsidR="00E63567" w:rsidRDefault="00E63567">
      <w:r>
        <w:br w:type="page"/>
      </w:r>
    </w:p>
    <w:p w14:paraId="4D62AB95" w14:textId="75EF9F81" w:rsidR="00E32B54" w:rsidRPr="00E63567" w:rsidRDefault="00E32B54" w:rsidP="00E32B54">
      <w:pPr>
        <w:pStyle w:val="ListParagraph"/>
        <w:numPr>
          <w:ilvl w:val="0"/>
          <w:numId w:val="18"/>
        </w:numPr>
        <w:spacing w:before="0" w:after="120"/>
        <w:rPr>
          <w:sz w:val="22"/>
          <w:szCs w:val="22"/>
        </w:rPr>
      </w:pPr>
      <w:r w:rsidRPr="00E63567">
        <w:rPr>
          <w:sz w:val="22"/>
          <w:szCs w:val="22"/>
        </w:rPr>
        <w:lastRenderedPageBreak/>
        <w:t xml:space="preserve">1: 1 Careers advisors appointments. </w:t>
      </w:r>
    </w:p>
    <w:tbl>
      <w:tblPr>
        <w:tblStyle w:val="TableGrid"/>
        <w:tblW w:w="0" w:type="auto"/>
        <w:tblLook w:val="04A0" w:firstRow="1" w:lastRow="0" w:firstColumn="1" w:lastColumn="0" w:noHBand="0" w:noVBand="1"/>
      </w:tblPr>
      <w:tblGrid>
        <w:gridCol w:w="2619"/>
        <w:gridCol w:w="666"/>
        <w:gridCol w:w="604"/>
        <w:gridCol w:w="604"/>
        <w:gridCol w:w="604"/>
        <w:gridCol w:w="604"/>
        <w:gridCol w:w="604"/>
        <w:gridCol w:w="604"/>
        <w:gridCol w:w="1043"/>
        <w:gridCol w:w="1064"/>
      </w:tblGrid>
      <w:tr w:rsidR="00E32B54" w:rsidRPr="00E63567" w14:paraId="3AC8B097" w14:textId="77777777" w:rsidTr="00E32B54">
        <w:trPr>
          <w:trHeight w:val="310"/>
        </w:trPr>
        <w:tc>
          <w:tcPr>
            <w:tcW w:w="7061" w:type="dxa"/>
            <w:gridSpan w:val="8"/>
            <w:noWrap/>
            <w:hideMark/>
          </w:tcPr>
          <w:p w14:paraId="60728B59" w14:textId="77777777" w:rsidR="00E32B54" w:rsidRPr="00E63567" w:rsidRDefault="00E32B54" w:rsidP="0064504D">
            <w:pPr>
              <w:rPr>
                <w:b/>
                <w:bCs/>
              </w:rPr>
            </w:pPr>
            <w:r w:rsidRPr="00E63567">
              <w:rPr>
                <w:b/>
                <w:bCs/>
              </w:rPr>
              <w:t>Breakdown by Faculty, School and Level of Study - Careers Advisers 1:1 Appointments: Semester One 2020/21</w:t>
            </w:r>
          </w:p>
        </w:tc>
        <w:tc>
          <w:tcPr>
            <w:tcW w:w="968" w:type="dxa"/>
            <w:noWrap/>
            <w:hideMark/>
          </w:tcPr>
          <w:p w14:paraId="2558C919" w14:textId="77777777" w:rsidR="00E32B54" w:rsidRPr="00E63567" w:rsidRDefault="00E32B54">
            <w:pPr>
              <w:rPr>
                <w:b/>
                <w:bCs/>
              </w:rPr>
            </w:pPr>
          </w:p>
        </w:tc>
        <w:tc>
          <w:tcPr>
            <w:tcW w:w="987" w:type="dxa"/>
            <w:noWrap/>
            <w:hideMark/>
          </w:tcPr>
          <w:p w14:paraId="5A278FE8" w14:textId="77777777" w:rsidR="00E32B54" w:rsidRPr="00E63567" w:rsidRDefault="00E32B54"/>
        </w:tc>
      </w:tr>
      <w:tr w:rsidR="00E32B54" w:rsidRPr="00E63567" w14:paraId="753B9315" w14:textId="77777777" w:rsidTr="00E32B54">
        <w:trPr>
          <w:trHeight w:val="310"/>
        </w:trPr>
        <w:tc>
          <w:tcPr>
            <w:tcW w:w="3023" w:type="dxa"/>
            <w:noWrap/>
            <w:hideMark/>
          </w:tcPr>
          <w:p w14:paraId="402B6D9E" w14:textId="77777777" w:rsidR="00E32B54" w:rsidRPr="00E63567" w:rsidRDefault="00E32B54"/>
        </w:tc>
        <w:tc>
          <w:tcPr>
            <w:tcW w:w="624" w:type="dxa"/>
            <w:noWrap/>
            <w:hideMark/>
          </w:tcPr>
          <w:p w14:paraId="5D191B4A" w14:textId="77777777" w:rsidR="00E32B54" w:rsidRPr="00E63567" w:rsidRDefault="00E32B54" w:rsidP="0064504D">
            <w:pPr>
              <w:rPr>
                <w:b/>
                <w:bCs/>
              </w:rPr>
            </w:pPr>
            <w:r w:rsidRPr="00E63567">
              <w:rPr>
                <w:b/>
                <w:bCs/>
              </w:rPr>
              <w:t>Total</w:t>
            </w:r>
          </w:p>
        </w:tc>
        <w:tc>
          <w:tcPr>
            <w:tcW w:w="569" w:type="dxa"/>
            <w:noWrap/>
            <w:hideMark/>
          </w:tcPr>
          <w:p w14:paraId="2738DE5F" w14:textId="77777777" w:rsidR="00E32B54" w:rsidRPr="00E63567" w:rsidRDefault="00E32B54">
            <w:pPr>
              <w:rPr>
                <w:b/>
                <w:bCs/>
              </w:rPr>
            </w:pPr>
            <w:r w:rsidRPr="00E63567">
              <w:rPr>
                <w:b/>
                <w:bCs/>
              </w:rPr>
              <w:t>NQ3</w:t>
            </w:r>
          </w:p>
        </w:tc>
        <w:tc>
          <w:tcPr>
            <w:tcW w:w="569" w:type="dxa"/>
            <w:noWrap/>
            <w:hideMark/>
          </w:tcPr>
          <w:p w14:paraId="4BB798FC" w14:textId="77777777" w:rsidR="00E32B54" w:rsidRPr="00E63567" w:rsidRDefault="00E32B54">
            <w:pPr>
              <w:rPr>
                <w:b/>
                <w:bCs/>
              </w:rPr>
            </w:pPr>
            <w:r w:rsidRPr="00E63567">
              <w:rPr>
                <w:b/>
                <w:bCs/>
              </w:rPr>
              <w:t>NQ4</w:t>
            </w:r>
          </w:p>
        </w:tc>
        <w:tc>
          <w:tcPr>
            <w:tcW w:w="569" w:type="dxa"/>
            <w:noWrap/>
            <w:hideMark/>
          </w:tcPr>
          <w:p w14:paraId="5D74D768" w14:textId="77777777" w:rsidR="00E32B54" w:rsidRPr="00E63567" w:rsidRDefault="00E32B54">
            <w:pPr>
              <w:rPr>
                <w:b/>
                <w:bCs/>
              </w:rPr>
            </w:pPr>
            <w:r w:rsidRPr="00E63567">
              <w:rPr>
                <w:b/>
                <w:bCs/>
              </w:rPr>
              <w:t>NQ5</w:t>
            </w:r>
          </w:p>
        </w:tc>
        <w:tc>
          <w:tcPr>
            <w:tcW w:w="569" w:type="dxa"/>
            <w:noWrap/>
            <w:hideMark/>
          </w:tcPr>
          <w:p w14:paraId="6678A525" w14:textId="77777777" w:rsidR="00E32B54" w:rsidRPr="00E63567" w:rsidRDefault="00E32B54">
            <w:pPr>
              <w:rPr>
                <w:b/>
                <w:bCs/>
              </w:rPr>
            </w:pPr>
            <w:r w:rsidRPr="00E63567">
              <w:rPr>
                <w:b/>
                <w:bCs/>
              </w:rPr>
              <w:t>NQ6</w:t>
            </w:r>
          </w:p>
        </w:tc>
        <w:tc>
          <w:tcPr>
            <w:tcW w:w="569" w:type="dxa"/>
            <w:noWrap/>
            <w:hideMark/>
          </w:tcPr>
          <w:p w14:paraId="3D6459A7" w14:textId="77777777" w:rsidR="00E32B54" w:rsidRPr="00E63567" w:rsidRDefault="00E32B54">
            <w:pPr>
              <w:rPr>
                <w:b/>
                <w:bCs/>
              </w:rPr>
            </w:pPr>
            <w:r w:rsidRPr="00E63567">
              <w:rPr>
                <w:b/>
                <w:bCs/>
              </w:rPr>
              <w:t>NQ7</w:t>
            </w:r>
          </w:p>
        </w:tc>
        <w:tc>
          <w:tcPr>
            <w:tcW w:w="569" w:type="dxa"/>
            <w:noWrap/>
            <w:hideMark/>
          </w:tcPr>
          <w:p w14:paraId="4DD03402" w14:textId="77777777" w:rsidR="00E32B54" w:rsidRPr="00E63567" w:rsidRDefault="00E32B54">
            <w:pPr>
              <w:rPr>
                <w:b/>
                <w:bCs/>
              </w:rPr>
            </w:pPr>
            <w:r w:rsidRPr="00E63567">
              <w:rPr>
                <w:b/>
                <w:bCs/>
              </w:rPr>
              <w:t>NQ8</w:t>
            </w:r>
          </w:p>
        </w:tc>
        <w:tc>
          <w:tcPr>
            <w:tcW w:w="968" w:type="dxa"/>
            <w:noWrap/>
            <w:hideMark/>
          </w:tcPr>
          <w:p w14:paraId="4768107C" w14:textId="77777777" w:rsidR="00E32B54" w:rsidRPr="00E63567" w:rsidRDefault="00E32B54">
            <w:pPr>
              <w:rPr>
                <w:b/>
                <w:bCs/>
              </w:rPr>
            </w:pPr>
            <w:r w:rsidRPr="00E63567">
              <w:rPr>
                <w:b/>
                <w:bCs/>
              </w:rPr>
              <w:t>Graduate</w:t>
            </w:r>
          </w:p>
        </w:tc>
        <w:tc>
          <w:tcPr>
            <w:tcW w:w="987" w:type="dxa"/>
            <w:noWrap/>
            <w:hideMark/>
          </w:tcPr>
          <w:p w14:paraId="7E4D4421" w14:textId="77777777" w:rsidR="00E32B54" w:rsidRPr="00E63567" w:rsidRDefault="00E32B54">
            <w:pPr>
              <w:rPr>
                <w:b/>
                <w:bCs/>
              </w:rPr>
            </w:pPr>
            <w:r w:rsidRPr="00E63567">
              <w:rPr>
                <w:b/>
                <w:bCs/>
              </w:rPr>
              <w:t>Unknown</w:t>
            </w:r>
          </w:p>
        </w:tc>
      </w:tr>
      <w:tr w:rsidR="00E32B54" w:rsidRPr="00E63567" w14:paraId="61E74F5F" w14:textId="77777777" w:rsidTr="00E32B54">
        <w:trPr>
          <w:trHeight w:val="290"/>
        </w:trPr>
        <w:tc>
          <w:tcPr>
            <w:tcW w:w="3023" w:type="dxa"/>
            <w:noWrap/>
            <w:hideMark/>
          </w:tcPr>
          <w:p w14:paraId="09867874" w14:textId="77777777" w:rsidR="00E32B54" w:rsidRPr="00E63567" w:rsidRDefault="00E32B54" w:rsidP="0064504D">
            <w:pPr>
              <w:rPr>
                <w:b/>
                <w:bCs/>
                <w:u w:val="single"/>
              </w:rPr>
            </w:pPr>
            <w:r w:rsidRPr="00E63567">
              <w:rPr>
                <w:b/>
                <w:bCs/>
                <w:u w:val="single"/>
              </w:rPr>
              <w:t>Faculty of Science</w:t>
            </w:r>
          </w:p>
        </w:tc>
        <w:tc>
          <w:tcPr>
            <w:tcW w:w="624" w:type="dxa"/>
            <w:noWrap/>
            <w:hideMark/>
          </w:tcPr>
          <w:p w14:paraId="06C7BC4E" w14:textId="77777777" w:rsidR="00E32B54" w:rsidRPr="00E63567" w:rsidRDefault="00E32B54" w:rsidP="0064504D">
            <w:pPr>
              <w:rPr>
                <w:b/>
                <w:bCs/>
                <w:u w:val="single"/>
              </w:rPr>
            </w:pPr>
            <w:r w:rsidRPr="00E63567">
              <w:rPr>
                <w:b/>
                <w:bCs/>
                <w:u w:val="single"/>
              </w:rPr>
              <w:t>163</w:t>
            </w:r>
          </w:p>
        </w:tc>
        <w:tc>
          <w:tcPr>
            <w:tcW w:w="569" w:type="dxa"/>
            <w:noWrap/>
            <w:hideMark/>
          </w:tcPr>
          <w:p w14:paraId="378FBEB9" w14:textId="77777777" w:rsidR="00E32B54" w:rsidRPr="00E63567" w:rsidRDefault="00E32B54" w:rsidP="0064504D">
            <w:pPr>
              <w:rPr>
                <w:b/>
                <w:bCs/>
                <w:u w:val="single"/>
              </w:rPr>
            </w:pPr>
            <w:r w:rsidRPr="00E63567">
              <w:rPr>
                <w:b/>
                <w:bCs/>
                <w:u w:val="single"/>
              </w:rPr>
              <w:t>1</w:t>
            </w:r>
          </w:p>
        </w:tc>
        <w:tc>
          <w:tcPr>
            <w:tcW w:w="569" w:type="dxa"/>
            <w:noWrap/>
            <w:hideMark/>
          </w:tcPr>
          <w:p w14:paraId="20949680" w14:textId="77777777" w:rsidR="00E32B54" w:rsidRPr="00E63567" w:rsidRDefault="00E32B54" w:rsidP="0064504D">
            <w:pPr>
              <w:rPr>
                <w:b/>
                <w:bCs/>
                <w:u w:val="single"/>
              </w:rPr>
            </w:pPr>
            <w:r w:rsidRPr="00E63567">
              <w:rPr>
                <w:b/>
                <w:bCs/>
                <w:u w:val="single"/>
              </w:rPr>
              <w:t>11</w:t>
            </w:r>
          </w:p>
        </w:tc>
        <w:tc>
          <w:tcPr>
            <w:tcW w:w="569" w:type="dxa"/>
            <w:noWrap/>
            <w:hideMark/>
          </w:tcPr>
          <w:p w14:paraId="7F5E776D" w14:textId="77777777" w:rsidR="00E32B54" w:rsidRPr="00E63567" w:rsidRDefault="00E32B54" w:rsidP="0064504D">
            <w:pPr>
              <w:rPr>
                <w:b/>
                <w:bCs/>
                <w:u w:val="single"/>
              </w:rPr>
            </w:pPr>
            <w:r w:rsidRPr="00E63567">
              <w:rPr>
                <w:b/>
                <w:bCs/>
                <w:u w:val="single"/>
              </w:rPr>
              <w:t>61</w:t>
            </w:r>
          </w:p>
        </w:tc>
        <w:tc>
          <w:tcPr>
            <w:tcW w:w="569" w:type="dxa"/>
            <w:noWrap/>
            <w:hideMark/>
          </w:tcPr>
          <w:p w14:paraId="66188303" w14:textId="77777777" w:rsidR="00E32B54" w:rsidRPr="00E63567" w:rsidRDefault="00E32B54" w:rsidP="0064504D">
            <w:pPr>
              <w:rPr>
                <w:b/>
                <w:bCs/>
                <w:u w:val="single"/>
              </w:rPr>
            </w:pPr>
            <w:r w:rsidRPr="00E63567">
              <w:rPr>
                <w:b/>
                <w:bCs/>
                <w:u w:val="single"/>
              </w:rPr>
              <w:t>53</w:t>
            </w:r>
          </w:p>
        </w:tc>
        <w:tc>
          <w:tcPr>
            <w:tcW w:w="569" w:type="dxa"/>
            <w:noWrap/>
            <w:hideMark/>
          </w:tcPr>
          <w:p w14:paraId="5566F204" w14:textId="77777777" w:rsidR="00E32B54" w:rsidRPr="00E63567" w:rsidRDefault="00E32B54" w:rsidP="0064504D">
            <w:pPr>
              <w:rPr>
                <w:b/>
                <w:bCs/>
                <w:u w:val="single"/>
              </w:rPr>
            </w:pPr>
            <w:r w:rsidRPr="00E63567">
              <w:rPr>
                <w:b/>
                <w:bCs/>
                <w:u w:val="single"/>
              </w:rPr>
              <w:t>16</w:t>
            </w:r>
          </w:p>
        </w:tc>
        <w:tc>
          <w:tcPr>
            <w:tcW w:w="569" w:type="dxa"/>
            <w:noWrap/>
            <w:hideMark/>
          </w:tcPr>
          <w:p w14:paraId="695F5AD1" w14:textId="77777777" w:rsidR="00E32B54" w:rsidRPr="00E63567" w:rsidRDefault="00E32B54" w:rsidP="0064504D">
            <w:pPr>
              <w:rPr>
                <w:b/>
                <w:bCs/>
                <w:u w:val="single"/>
              </w:rPr>
            </w:pPr>
            <w:r w:rsidRPr="00E63567">
              <w:rPr>
                <w:b/>
                <w:bCs/>
                <w:u w:val="single"/>
              </w:rPr>
              <w:t>0</w:t>
            </w:r>
          </w:p>
        </w:tc>
        <w:tc>
          <w:tcPr>
            <w:tcW w:w="968" w:type="dxa"/>
            <w:noWrap/>
            <w:hideMark/>
          </w:tcPr>
          <w:p w14:paraId="0A2BFC30" w14:textId="77777777" w:rsidR="00E32B54" w:rsidRPr="00E63567" w:rsidRDefault="00E32B54" w:rsidP="0064504D">
            <w:pPr>
              <w:rPr>
                <w:b/>
                <w:bCs/>
                <w:u w:val="single"/>
              </w:rPr>
            </w:pPr>
            <w:r w:rsidRPr="00E63567">
              <w:rPr>
                <w:b/>
                <w:bCs/>
                <w:u w:val="single"/>
              </w:rPr>
              <w:t>19</w:t>
            </w:r>
          </w:p>
        </w:tc>
        <w:tc>
          <w:tcPr>
            <w:tcW w:w="987" w:type="dxa"/>
            <w:noWrap/>
            <w:hideMark/>
          </w:tcPr>
          <w:p w14:paraId="5476855E" w14:textId="77777777" w:rsidR="00E32B54" w:rsidRPr="00E63567" w:rsidRDefault="00E32B54" w:rsidP="0064504D">
            <w:pPr>
              <w:rPr>
                <w:b/>
                <w:bCs/>
                <w:u w:val="single"/>
              </w:rPr>
            </w:pPr>
            <w:r w:rsidRPr="00E63567">
              <w:rPr>
                <w:b/>
                <w:bCs/>
                <w:u w:val="single"/>
              </w:rPr>
              <w:t>2</w:t>
            </w:r>
          </w:p>
        </w:tc>
      </w:tr>
      <w:tr w:rsidR="00E32B54" w:rsidRPr="00E63567" w14:paraId="07000387" w14:textId="77777777" w:rsidTr="00E32B54">
        <w:trPr>
          <w:trHeight w:val="290"/>
        </w:trPr>
        <w:tc>
          <w:tcPr>
            <w:tcW w:w="3023" w:type="dxa"/>
            <w:noWrap/>
            <w:hideMark/>
          </w:tcPr>
          <w:p w14:paraId="01DCE2C1" w14:textId="77777777" w:rsidR="00E32B54" w:rsidRPr="00E63567" w:rsidRDefault="00E32B54" w:rsidP="0064504D">
            <w:r w:rsidRPr="00E63567">
              <w:t>School of Sport and Exercise Sciences</w:t>
            </w:r>
          </w:p>
        </w:tc>
        <w:tc>
          <w:tcPr>
            <w:tcW w:w="624" w:type="dxa"/>
            <w:noWrap/>
            <w:hideMark/>
          </w:tcPr>
          <w:p w14:paraId="11F3C787" w14:textId="77777777" w:rsidR="00E32B54" w:rsidRPr="00E63567" w:rsidRDefault="00E32B54" w:rsidP="0064504D">
            <w:pPr>
              <w:rPr>
                <w:b/>
                <w:bCs/>
              </w:rPr>
            </w:pPr>
            <w:r w:rsidRPr="00E63567">
              <w:rPr>
                <w:b/>
                <w:bCs/>
              </w:rPr>
              <w:t>74</w:t>
            </w:r>
          </w:p>
        </w:tc>
        <w:tc>
          <w:tcPr>
            <w:tcW w:w="569" w:type="dxa"/>
            <w:noWrap/>
            <w:hideMark/>
          </w:tcPr>
          <w:p w14:paraId="503A4F79" w14:textId="77777777" w:rsidR="00E32B54" w:rsidRPr="00E63567" w:rsidRDefault="00E32B54" w:rsidP="0064504D">
            <w:r w:rsidRPr="00E63567">
              <w:t>0</w:t>
            </w:r>
          </w:p>
        </w:tc>
        <w:tc>
          <w:tcPr>
            <w:tcW w:w="569" w:type="dxa"/>
            <w:noWrap/>
            <w:hideMark/>
          </w:tcPr>
          <w:p w14:paraId="6807C619" w14:textId="77777777" w:rsidR="00E32B54" w:rsidRPr="00E63567" w:rsidRDefault="00E32B54" w:rsidP="0064504D">
            <w:r w:rsidRPr="00E63567">
              <w:t>3</w:t>
            </w:r>
          </w:p>
        </w:tc>
        <w:tc>
          <w:tcPr>
            <w:tcW w:w="569" w:type="dxa"/>
            <w:noWrap/>
            <w:hideMark/>
          </w:tcPr>
          <w:p w14:paraId="0D479190" w14:textId="77777777" w:rsidR="00E32B54" w:rsidRPr="00E63567" w:rsidRDefault="00E32B54" w:rsidP="0064504D">
            <w:r w:rsidRPr="00E63567">
              <w:t>28</w:t>
            </w:r>
          </w:p>
        </w:tc>
        <w:tc>
          <w:tcPr>
            <w:tcW w:w="569" w:type="dxa"/>
            <w:noWrap/>
            <w:hideMark/>
          </w:tcPr>
          <w:p w14:paraId="0DA80B0C" w14:textId="77777777" w:rsidR="00E32B54" w:rsidRPr="00E63567" w:rsidRDefault="00E32B54" w:rsidP="0064504D">
            <w:r w:rsidRPr="00E63567">
              <w:t>23</w:t>
            </w:r>
          </w:p>
        </w:tc>
        <w:tc>
          <w:tcPr>
            <w:tcW w:w="569" w:type="dxa"/>
            <w:noWrap/>
            <w:hideMark/>
          </w:tcPr>
          <w:p w14:paraId="02BC74A6" w14:textId="77777777" w:rsidR="00E32B54" w:rsidRPr="00E63567" w:rsidRDefault="00E32B54" w:rsidP="0064504D">
            <w:r w:rsidRPr="00E63567">
              <w:t>6</w:t>
            </w:r>
          </w:p>
        </w:tc>
        <w:tc>
          <w:tcPr>
            <w:tcW w:w="569" w:type="dxa"/>
            <w:noWrap/>
            <w:hideMark/>
          </w:tcPr>
          <w:p w14:paraId="12D3BB01" w14:textId="77777777" w:rsidR="00E32B54" w:rsidRPr="00E63567" w:rsidRDefault="00E32B54" w:rsidP="0064504D">
            <w:r w:rsidRPr="00E63567">
              <w:t>0</w:t>
            </w:r>
          </w:p>
        </w:tc>
        <w:tc>
          <w:tcPr>
            <w:tcW w:w="968" w:type="dxa"/>
            <w:noWrap/>
            <w:hideMark/>
          </w:tcPr>
          <w:p w14:paraId="5FB9DFC5" w14:textId="77777777" w:rsidR="00E32B54" w:rsidRPr="00E63567" w:rsidRDefault="00E32B54" w:rsidP="0064504D">
            <w:r w:rsidRPr="00E63567">
              <w:t>13</w:t>
            </w:r>
          </w:p>
        </w:tc>
        <w:tc>
          <w:tcPr>
            <w:tcW w:w="987" w:type="dxa"/>
            <w:noWrap/>
            <w:hideMark/>
          </w:tcPr>
          <w:p w14:paraId="78CA6134" w14:textId="77777777" w:rsidR="00E32B54" w:rsidRPr="00E63567" w:rsidRDefault="00E32B54" w:rsidP="0064504D">
            <w:r w:rsidRPr="00E63567">
              <w:t>1</w:t>
            </w:r>
          </w:p>
        </w:tc>
      </w:tr>
    </w:tbl>
    <w:p w14:paraId="15FB2422" w14:textId="77777777" w:rsidR="00E32B54" w:rsidRPr="00E63567" w:rsidRDefault="00E32B54" w:rsidP="0064504D"/>
    <w:p w14:paraId="5EA5DB7B" w14:textId="4CA5261D" w:rsidR="00E32B54" w:rsidRPr="00E63567" w:rsidRDefault="00E32B54" w:rsidP="00E32B54">
      <w:pPr>
        <w:pStyle w:val="ListParagraph"/>
        <w:numPr>
          <w:ilvl w:val="0"/>
          <w:numId w:val="18"/>
        </w:numPr>
        <w:spacing w:before="0" w:after="120"/>
        <w:rPr>
          <w:sz w:val="22"/>
          <w:szCs w:val="22"/>
        </w:rPr>
      </w:pPr>
      <w:r w:rsidRPr="00E63567">
        <w:rPr>
          <w:sz w:val="22"/>
          <w:szCs w:val="22"/>
        </w:rPr>
        <w:t xml:space="preserve"> Events                                                                                                                                          </w:t>
      </w:r>
    </w:p>
    <w:tbl>
      <w:tblPr>
        <w:tblStyle w:val="TableGrid"/>
        <w:tblW w:w="0" w:type="auto"/>
        <w:tblLook w:val="04A0" w:firstRow="1" w:lastRow="0" w:firstColumn="1" w:lastColumn="0" w:noHBand="0" w:noVBand="1"/>
      </w:tblPr>
      <w:tblGrid>
        <w:gridCol w:w="2222"/>
        <w:gridCol w:w="1460"/>
        <w:gridCol w:w="1398"/>
        <w:gridCol w:w="1152"/>
        <w:gridCol w:w="1484"/>
        <w:gridCol w:w="1300"/>
      </w:tblGrid>
      <w:tr w:rsidR="00E32B54" w:rsidRPr="00E63567" w14:paraId="18573226" w14:textId="77777777" w:rsidTr="0064504D">
        <w:trPr>
          <w:trHeight w:val="290"/>
        </w:trPr>
        <w:tc>
          <w:tcPr>
            <w:tcW w:w="2222" w:type="dxa"/>
            <w:noWrap/>
            <w:hideMark/>
          </w:tcPr>
          <w:p w14:paraId="1BE1E131" w14:textId="77777777" w:rsidR="00E32B54" w:rsidRPr="00E63567" w:rsidRDefault="00E32B54" w:rsidP="0064504D">
            <w:pPr>
              <w:rPr>
                <w:b/>
                <w:bCs/>
              </w:rPr>
            </w:pPr>
            <w:r w:rsidRPr="00E63567">
              <w:rPr>
                <w:b/>
                <w:bCs/>
              </w:rPr>
              <w:t>Event/Presentation</w:t>
            </w:r>
          </w:p>
        </w:tc>
        <w:tc>
          <w:tcPr>
            <w:tcW w:w="1460" w:type="dxa"/>
            <w:noWrap/>
            <w:hideMark/>
          </w:tcPr>
          <w:p w14:paraId="4388D0AB" w14:textId="77777777" w:rsidR="00E32B54" w:rsidRPr="00E63567" w:rsidRDefault="00E32B54">
            <w:pPr>
              <w:rPr>
                <w:b/>
                <w:bCs/>
              </w:rPr>
            </w:pPr>
            <w:r w:rsidRPr="00E63567">
              <w:rPr>
                <w:b/>
                <w:bCs/>
              </w:rPr>
              <w:t>Type of event</w:t>
            </w:r>
          </w:p>
        </w:tc>
        <w:tc>
          <w:tcPr>
            <w:tcW w:w="1398" w:type="dxa"/>
            <w:noWrap/>
            <w:hideMark/>
          </w:tcPr>
          <w:p w14:paraId="72BA0EFA" w14:textId="77777777" w:rsidR="00E32B54" w:rsidRPr="00E63567" w:rsidRDefault="00E32B54">
            <w:pPr>
              <w:rPr>
                <w:b/>
                <w:bCs/>
              </w:rPr>
            </w:pPr>
            <w:r w:rsidRPr="00E63567">
              <w:rPr>
                <w:b/>
                <w:bCs/>
              </w:rPr>
              <w:t>Within Curriculum</w:t>
            </w:r>
          </w:p>
        </w:tc>
        <w:tc>
          <w:tcPr>
            <w:tcW w:w="1152" w:type="dxa"/>
            <w:noWrap/>
            <w:hideMark/>
          </w:tcPr>
          <w:p w14:paraId="66DD8B5F" w14:textId="77777777" w:rsidR="00E32B54" w:rsidRPr="00E63567" w:rsidRDefault="00E32B54">
            <w:pPr>
              <w:rPr>
                <w:b/>
                <w:bCs/>
              </w:rPr>
            </w:pPr>
            <w:r w:rsidRPr="00E63567">
              <w:rPr>
                <w:b/>
                <w:bCs/>
              </w:rPr>
              <w:t>School</w:t>
            </w:r>
          </w:p>
        </w:tc>
        <w:tc>
          <w:tcPr>
            <w:tcW w:w="1484" w:type="dxa"/>
            <w:noWrap/>
            <w:hideMark/>
          </w:tcPr>
          <w:p w14:paraId="5C38B3C5" w14:textId="77777777" w:rsidR="00E32B54" w:rsidRPr="00E63567" w:rsidRDefault="00E32B54">
            <w:pPr>
              <w:rPr>
                <w:b/>
                <w:bCs/>
              </w:rPr>
            </w:pPr>
            <w:r w:rsidRPr="00E63567">
              <w:rPr>
                <w:b/>
                <w:bCs/>
              </w:rPr>
              <w:t xml:space="preserve">Programme </w:t>
            </w:r>
          </w:p>
        </w:tc>
        <w:tc>
          <w:tcPr>
            <w:tcW w:w="1300" w:type="dxa"/>
            <w:noWrap/>
            <w:hideMark/>
          </w:tcPr>
          <w:p w14:paraId="06557ADD" w14:textId="77777777" w:rsidR="00E32B54" w:rsidRPr="00E63567" w:rsidRDefault="00E32B54">
            <w:pPr>
              <w:rPr>
                <w:b/>
                <w:bCs/>
              </w:rPr>
            </w:pPr>
            <w:r w:rsidRPr="00E63567">
              <w:rPr>
                <w:b/>
                <w:bCs/>
              </w:rPr>
              <w:t>No of students attended</w:t>
            </w:r>
          </w:p>
        </w:tc>
      </w:tr>
      <w:tr w:rsidR="00E32B54" w:rsidRPr="00E63567" w14:paraId="13A76489" w14:textId="77777777" w:rsidTr="0064504D">
        <w:trPr>
          <w:trHeight w:val="290"/>
        </w:trPr>
        <w:tc>
          <w:tcPr>
            <w:tcW w:w="2222" w:type="dxa"/>
            <w:noWrap/>
            <w:hideMark/>
          </w:tcPr>
          <w:p w14:paraId="642BA8AE" w14:textId="77777777" w:rsidR="00E32B54" w:rsidRPr="00E63567" w:rsidRDefault="00E32B54">
            <w:r w:rsidRPr="00E63567">
              <w:t>National School of Healthcare-The Scientist Training Programme</w:t>
            </w:r>
          </w:p>
        </w:tc>
        <w:tc>
          <w:tcPr>
            <w:tcW w:w="1460" w:type="dxa"/>
            <w:noWrap/>
            <w:hideMark/>
          </w:tcPr>
          <w:p w14:paraId="79F302FC" w14:textId="77777777" w:rsidR="00E32B54" w:rsidRPr="00E63567" w:rsidRDefault="00E32B54">
            <w:r w:rsidRPr="00E63567">
              <w:t>Recruitment Presentation</w:t>
            </w:r>
          </w:p>
        </w:tc>
        <w:tc>
          <w:tcPr>
            <w:tcW w:w="1398" w:type="dxa"/>
            <w:noWrap/>
            <w:hideMark/>
          </w:tcPr>
          <w:p w14:paraId="7AC66D56" w14:textId="77777777" w:rsidR="00E32B54" w:rsidRPr="00E63567" w:rsidRDefault="00E32B54">
            <w:r w:rsidRPr="00E63567">
              <w:t>No</w:t>
            </w:r>
          </w:p>
        </w:tc>
        <w:tc>
          <w:tcPr>
            <w:tcW w:w="1152" w:type="dxa"/>
            <w:noWrap/>
            <w:hideMark/>
          </w:tcPr>
          <w:p w14:paraId="295D7CBF" w14:textId="77777777" w:rsidR="00E32B54" w:rsidRPr="00E63567" w:rsidRDefault="00E32B54">
            <w:r w:rsidRPr="00E63567">
              <w:t>All Science</w:t>
            </w:r>
          </w:p>
        </w:tc>
        <w:tc>
          <w:tcPr>
            <w:tcW w:w="1484" w:type="dxa"/>
            <w:noWrap/>
            <w:hideMark/>
          </w:tcPr>
          <w:p w14:paraId="028772A6" w14:textId="77777777" w:rsidR="00E32B54" w:rsidRPr="00E63567" w:rsidRDefault="00E32B54">
            <w:r w:rsidRPr="00E63567">
              <w:t> </w:t>
            </w:r>
          </w:p>
        </w:tc>
        <w:tc>
          <w:tcPr>
            <w:tcW w:w="1300" w:type="dxa"/>
            <w:noWrap/>
            <w:hideMark/>
          </w:tcPr>
          <w:p w14:paraId="2145F3D1" w14:textId="77777777" w:rsidR="00E32B54" w:rsidRPr="00E63567" w:rsidRDefault="00E32B54">
            <w:r w:rsidRPr="00E63567">
              <w:t>152</w:t>
            </w:r>
          </w:p>
        </w:tc>
      </w:tr>
      <w:tr w:rsidR="00E32B54" w:rsidRPr="00E63567" w14:paraId="4D572B83" w14:textId="77777777" w:rsidTr="0064504D">
        <w:trPr>
          <w:trHeight w:val="290"/>
        </w:trPr>
        <w:tc>
          <w:tcPr>
            <w:tcW w:w="2222" w:type="dxa"/>
            <w:noWrap/>
            <w:hideMark/>
          </w:tcPr>
          <w:p w14:paraId="17C88A74" w14:textId="77777777" w:rsidR="00E32B54" w:rsidRPr="00E63567" w:rsidRDefault="00E32B54">
            <w:r w:rsidRPr="00E63567">
              <w:t>Army- Presentation about Physical Training Instructor Roles and General Recruitment</w:t>
            </w:r>
          </w:p>
        </w:tc>
        <w:tc>
          <w:tcPr>
            <w:tcW w:w="1460" w:type="dxa"/>
            <w:noWrap/>
            <w:hideMark/>
          </w:tcPr>
          <w:p w14:paraId="03743DD7" w14:textId="77777777" w:rsidR="00E32B54" w:rsidRPr="00E63567" w:rsidRDefault="00E32B54">
            <w:r w:rsidRPr="00E63567">
              <w:t>Recruitment Presentation</w:t>
            </w:r>
          </w:p>
        </w:tc>
        <w:tc>
          <w:tcPr>
            <w:tcW w:w="1398" w:type="dxa"/>
            <w:noWrap/>
            <w:hideMark/>
          </w:tcPr>
          <w:p w14:paraId="1D750F57" w14:textId="77777777" w:rsidR="00E32B54" w:rsidRPr="00E63567" w:rsidRDefault="00E32B54">
            <w:r w:rsidRPr="00E63567">
              <w:t>No</w:t>
            </w:r>
          </w:p>
        </w:tc>
        <w:tc>
          <w:tcPr>
            <w:tcW w:w="1152" w:type="dxa"/>
            <w:noWrap/>
            <w:hideMark/>
          </w:tcPr>
          <w:p w14:paraId="2EDA32DB" w14:textId="77777777" w:rsidR="00E32B54" w:rsidRPr="00E63567" w:rsidRDefault="00E32B54">
            <w:r w:rsidRPr="00E63567">
              <w:t>SES (but open to all)</w:t>
            </w:r>
          </w:p>
        </w:tc>
        <w:tc>
          <w:tcPr>
            <w:tcW w:w="1484" w:type="dxa"/>
            <w:noWrap/>
            <w:hideMark/>
          </w:tcPr>
          <w:p w14:paraId="03DDC285" w14:textId="77777777" w:rsidR="00E32B54" w:rsidRPr="00E63567" w:rsidRDefault="00E32B54">
            <w:r w:rsidRPr="00E63567">
              <w:t>Sports Programmes</w:t>
            </w:r>
          </w:p>
        </w:tc>
        <w:tc>
          <w:tcPr>
            <w:tcW w:w="1300" w:type="dxa"/>
            <w:noWrap/>
            <w:hideMark/>
          </w:tcPr>
          <w:p w14:paraId="6D7C1C50" w14:textId="77777777" w:rsidR="00E32B54" w:rsidRPr="00E63567" w:rsidRDefault="00E32B54">
            <w:r w:rsidRPr="00E63567">
              <w:t>9</w:t>
            </w:r>
          </w:p>
        </w:tc>
      </w:tr>
      <w:tr w:rsidR="00E32B54" w:rsidRPr="00E63567" w14:paraId="565049ED" w14:textId="77777777" w:rsidTr="0064504D">
        <w:trPr>
          <w:trHeight w:val="290"/>
        </w:trPr>
        <w:tc>
          <w:tcPr>
            <w:tcW w:w="2222" w:type="dxa"/>
            <w:noWrap/>
            <w:hideMark/>
          </w:tcPr>
          <w:p w14:paraId="242D2392" w14:textId="77777777" w:rsidR="00E32B54" w:rsidRPr="00E63567" w:rsidRDefault="00E32B54">
            <w:r w:rsidRPr="00E63567">
              <w:t xml:space="preserve">Physio and Nutrition Event </w:t>
            </w:r>
          </w:p>
        </w:tc>
        <w:tc>
          <w:tcPr>
            <w:tcW w:w="1460" w:type="dxa"/>
            <w:noWrap/>
            <w:hideMark/>
          </w:tcPr>
          <w:p w14:paraId="72BA6FDA" w14:textId="77777777" w:rsidR="00E32B54" w:rsidRPr="00E63567" w:rsidRDefault="00E32B54">
            <w:r w:rsidRPr="00E63567">
              <w:t>Careers Talks</w:t>
            </w:r>
          </w:p>
        </w:tc>
        <w:tc>
          <w:tcPr>
            <w:tcW w:w="1398" w:type="dxa"/>
            <w:noWrap/>
            <w:hideMark/>
          </w:tcPr>
          <w:p w14:paraId="7561F9E6" w14:textId="77777777" w:rsidR="00E32B54" w:rsidRPr="00E63567" w:rsidRDefault="00E32B54">
            <w:r w:rsidRPr="00E63567">
              <w:t>No</w:t>
            </w:r>
          </w:p>
        </w:tc>
        <w:tc>
          <w:tcPr>
            <w:tcW w:w="1152" w:type="dxa"/>
            <w:noWrap/>
            <w:hideMark/>
          </w:tcPr>
          <w:p w14:paraId="4ABCE890" w14:textId="77777777" w:rsidR="00E32B54" w:rsidRPr="00E63567" w:rsidRDefault="00E32B54">
            <w:r w:rsidRPr="00E63567">
              <w:t>SES</w:t>
            </w:r>
          </w:p>
        </w:tc>
        <w:tc>
          <w:tcPr>
            <w:tcW w:w="1484" w:type="dxa"/>
            <w:noWrap/>
            <w:hideMark/>
          </w:tcPr>
          <w:p w14:paraId="4C32A777" w14:textId="77777777" w:rsidR="00E32B54" w:rsidRPr="00E63567" w:rsidRDefault="00E32B54">
            <w:r w:rsidRPr="00E63567">
              <w:t>Sports and Nutrition Programmes</w:t>
            </w:r>
          </w:p>
        </w:tc>
        <w:tc>
          <w:tcPr>
            <w:tcW w:w="1300" w:type="dxa"/>
            <w:noWrap/>
            <w:hideMark/>
          </w:tcPr>
          <w:p w14:paraId="4E4F6130" w14:textId="77777777" w:rsidR="00E32B54" w:rsidRPr="00E63567" w:rsidRDefault="00E32B54">
            <w:r w:rsidRPr="00E63567">
              <w:t>77</w:t>
            </w:r>
          </w:p>
        </w:tc>
      </w:tr>
      <w:tr w:rsidR="00E32B54" w:rsidRPr="00E63567" w14:paraId="18F34A6F" w14:textId="77777777" w:rsidTr="0064504D">
        <w:trPr>
          <w:trHeight w:val="580"/>
        </w:trPr>
        <w:tc>
          <w:tcPr>
            <w:tcW w:w="2222" w:type="dxa"/>
            <w:noWrap/>
            <w:hideMark/>
          </w:tcPr>
          <w:p w14:paraId="6130DA9E" w14:textId="77777777" w:rsidR="00E32B54" w:rsidRPr="00E63567" w:rsidRDefault="00E32B54">
            <w:r w:rsidRPr="00E63567">
              <w:t>General Recruitment Fair (for all LJMU students)</w:t>
            </w:r>
          </w:p>
        </w:tc>
        <w:tc>
          <w:tcPr>
            <w:tcW w:w="1460" w:type="dxa"/>
            <w:noWrap/>
            <w:hideMark/>
          </w:tcPr>
          <w:p w14:paraId="2A3FD137" w14:textId="77777777" w:rsidR="00E32B54" w:rsidRPr="00E63567" w:rsidRDefault="00E32B54">
            <w:r w:rsidRPr="00E63567">
              <w:t>Careers Fair</w:t>
            </w:r>
          </w:p>
        </w:tc>
        <w:tc>
          <w:tcPr>
            <w:tcW w:w="1398" w:type="dxa"/>
            <w:noWrap/>
            <w:hideMark/>
          </w:tcPr>
          <w:p w14:paraId="6D4A0172" w14:textId="77777777" w:rsidR="00E32B54" w:rsidRPr="00E63567" w:rsidRDefault="00E32B54">
            <w:r w:rsidRPr="00E63567">
              <w:t>No</w:t>
            </w:r>
          </w:p>
        </w:tc>
        <w:tc>
          <w:tcPr>
            <w:tcW w:w="1152" w:type="dxa"/>
            <w:noWrap/>
            <w:hideMark/>
          </w:tcPr>
          <w:p w14:paraId="4B2663C8" w14:textId="77777777" w:rsidR="00E32B54" w:rsidRPr="00E63567" w:rsidRDefault="00E32B54">
            <w:r w:rsidRPr="00E63567">
              <w:t>All LJMU</w:t>
            </w:r>
          </w:p>
        </w:tc>
        <w:tc>
          <w:tcPr>
            <w:tcW w:w="1484" w:type="dxa"/>
            <w:noWrap/>
            <w:hideMark/>
          </w:tcPr>
          <w:p w14:paraId="1ACEC2C1" w14:textId="77777777" w:rsidR="00E32B54" w:rsidRPr="00E63567" w:rsidRDefault="00E32B54">
            <w:r w:rsidRPr="00E63567">
              <w:t>All LJMU</w:t>
            </w:r>
          </w:p>
        </w:tc>
        <w:tc>
          <w:tcPr>
            <w:tcW w:w="1300" w:type="dxa"/>
            <w:hideMark/>
          </w:tcPr>
          <w:p w14:paraId="09122A74" w14:textId="77777777" w:rsidR="00E32B54" w:rsidRPr="00E63567" w:rsidRDefault="00E32B54">
            <w:r w:rsidRPr="00E63567">
              <w:t>Don't have breakdown of no of Science students yet</w:t>
            </w:r>
          </w:p>
        </w:tc>
      </w:tr>
      <w:tr w:rsidR="00E32B54" w:rsidRPr="00E63567" w14:paraId="002EFCA5" w14:textId="77777777" w:rsidTr="0064504D">
        <w:trPr>
          <w:trHeight w:val="580"/>
        </w:trPr>
        <w:tc>
          <w:tcPr>
            <w:tcW w:w="2222" w:type="dxa"/>
            <w:noWrap/>
          </w:tcPr>
          <w:p w14:paraId="487B30D5" w14:textId="77777777" w:rsidR="00E32B54" w:rsidRPr="00E63567" w:rsidRDefault="00E32B54">
            <w:r w:rsidRPr="00E63567">
              <w:t xml:space="preserve">Sport and Volunteering recruitment fair </w:t>
            </w:r>
          </w:p>
        </w:tc>
        <w:tc>
          <w:tcPr>
            <w:tcW w:w="1460" w:type="dxa"/>
            <w:noWrap/>
          </w:tcPr>
          <w:p w14:paraId="390D312C" w14:textId="77777777" w:rsidR="00E32B54" w:rsidRPr="00E63567" w:rsidRDefault="00E32B54">
            <w:r w:rsidRPr="00E63567">
              <w:t xml:space="preserve">Careers Fair </w:t>
            </w:r>
          </w:p>
        </w:tc>
        <w:tc>
          <w:tcPr>
            <w:tcW w:w="1398" w:type="dxa"/>
            <w:noWrap/>
          </w:tcPr>
          <w:p w14:paraId="4A243E00" w14:textId="77777777" w:rsidR="00E32B54" w:rsidRPr="00E63567" w:rsidRDefault="00E32B54">
            <w:r w:rsidRPr="00E63567">
              <w:t xml:space="preserve">No </w:t>
            </w:r>
          </w:p>
        </w:tc>
        <w:tc>
          <w:tcPr>
            <w:tcW w:w="1152" w:type="dxa"/>
            <w:noWrap/>
          </w:tcPr>
          <w:p w14:paraId="6B6B57BF" w14:textId="77777777" w:rsidR="00E32B54" w:rsidRPr="00E63567" w:rsidRDefault="00E32B54">
            <w:r w:rsidRPr="00E63567">
              <w:t xml:space="preserve">SES </w:t>
            </w:r>
            <w:proofErr w:type="gramStart"/>
            <w:r w:rsidRPr="00E63567">
              <w:t>( but</w:t>
            </w:r>
            <w:proofErr w:type="gramEnd"/>
            <w:r w:rsidRPr="00E63567">
              <w:t xml:space="preserve"> open to all)  </w:t>
            </w:r>
          </w:p>
        </w:tc>
        <w:tc>
          <w:tcPr>
            <w:tcW w:w="1484" w:type="dxa"/>
            <w:noWrap/>
          </w:tcPr>
          <w:p w14:paraId="10121ABF" w14:textId="77777777" w:rsidR="00E32B54" w:rsidRPr="00E63567" w:rsidRDefault="00E32B54">
            <w:r w:rsidRPr="00E63567">
              <w:t xml:space="preserve">Sport Programmes </w:t>
            </w:r>
          </w:p>
        </w:tc>
        <w:tc>
          <w:tcPr>
            <w:tcW w:w="1300" w:type="dxa"/>
          </w:tcPr>
          <w:p w14:paraId="2198DBA5" w14:textId="77777777" w:rsidR="00E32B54" w:rsidRPr="00E63567" w:rsidRDefault="00E32B54"/>
        </w:tc>
      </w:tr>
    </w:tbl>
    <w:p w14:paraId="40E73D86" w14:textId="77777777" w:rsidR="00E63567" w:rsidRDefault="00E63567" w:rsidP="0064504D">
      <w:pPr>
        <w:rPr>
          <w:b/>
          <w:bCs/>
          <w:u w:val="single"/>
        </w:rPr>
      </w:pPr>
    </w:p>
    <w:p w14:paraId="0824D182" w14:textId="77777777" w:rsidR="00E63567" w:rsidRDefault="00E63567">
      <w:pPr>
        <w:rPr>
          <w:b/>
          <w:bCs/>
          <w:u w:val="single"/>
        </w:rPr>
      </w:pPr>
      <w:r>
        <w:rPr>
          <w:b/>
          <w:bCs/>
          <w:u w:val="single"/>
        </w:rPr>
        <w:br w:type="page"/>
      </w:r>
    </w:p>
    <w:p w14:paraId="53F66BCA" w14:textId="797B3ECA" w:rsidR="00E32B54" w:rsidRPr="00E63567" w:rsidRDefault="00E32B54" w:rsidP="0064504D">
      <w:pPr>
        <w:rPr>
          <w:b/>
          <w:bCs/>
          <w:u w:val="single"/>
        </w:rPr>
      </w:pPr>
      <w:r w:rsidRPr="00E63567">
        <w:rPr>
          <w:b/>
          <w:bCs/>
          <w:u w:val="single"/>
        </w:rPr>
        <w:lastRenderedPageBreak/>
        <w:t xml:space="preserve">Career readiness data from 2018/19 to graduation. </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381"/>
        <w:gridCol w:w="4097"/>
      </w:tblGrid>
      <w:tr w:rsidR="00E32B54" w:rsidRPr="00E63567" w14:paraId="7C8DAB25" w14:textId="77777777" w:rsidTr="0064504D">
        <w:trPr>
          <w:trHeight w:val="2880"/>
        </w:trPr>
        <w:tc>
          <w:tcPr>
            <w:tcW w:w="4381"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F920617" w14:textId="77777777" w:rsidR="00E32B54" w:rsidRPr="00E63567" w:rsidRDefault="00E32B54" w:rsidP="0064504D">
            <w:pPr>
              <w:spacing w:after="0"/>
              <w:rPr>
                <w:rFonts w:eastAsia="Times New Roman"/>
                <w:lang w:eastAsia="en-GB"/>
              </w:rPr>
            </w:pPr>
            <w:r w:rsidRPr="00E63567">
              <w:rPr>
                <w:rFonts w:eastAsia="Times New Roman"/>
                <w:noProof/>
                <w:lang w:eastAsia="en-GB"/>
              </w:rPr>
              <w:drawing>
                <wp:inline distT="0" distB="0" distL="0" distR="0" wp14:anchorId="75220AE4" wp14:editId="3608D666">
                  <wp:extent cx="2660650" cy="1847850"/>
                  <wp:effectExtent l="0" t="0" r="6350" b="0"/>
                  <wp:docPr id="8" name="img89.png"/>
                  <wp:cNvGraphicFramePr/>
                  <a:graphic xmlns:a="http://schemas.openxmlformats.org/drawingml/2006/main">
                    <a:graphicData uri="http://schemas.openxmlformats.org/drawingml/2006/picture">
                      <pic:pic xmlns:pic="http://schemas.openxmlformats.org/drawingml/2006/picture">
                        <pic:nvPicPr>
                          <pic:cNvPr id="185" name="img89.png"/>
                          <pic:cNvPicPr/>
                        </pic:nvPicPr>
                        <pic:blipFill>
                          <a:blip r:embed="rId11" cstate="print"/>
                          <a:stretch>
                            <a:fillRect/>
                          </a:stretch>
                        </pic:blipFill>
                        <pic:spPr>
                          <a:xfrm>
                            <a:off x="0" y="0"/>
                            <a:ext cx="2661307" cy="1848306"/>
                          </a:xfrm>
                          <a:prstGeom prst="rect">
                            <a:avLst/>
                          </a:prstGeom>
                        </pic:spPr>
                      </pic:pic>
                    </a:graphicData>
                  </a:graphic>
                </wp:inline>
              </w:drawing>
            </w:r>
          </w:p>
        </w:tc>
        <w:tc>
          <w:tcPr>
            <w:tcW w:w="4097"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00074CE" w14:textId="77777777" w:rsidR="00E32B54" w:rsidRPr="00E63567" w:rsidRDefault="00E32B54" w:rsidP="0064504D">
            <w:pPr>
              <w:spacing w:after="0"/>
              <w:rPr>
                <w:rFonts w:eastAsia="Times New Roman"/>
                <w:lang w:eastAsia="en-GB"/>
              </w:rPr>
            </w:pPr>
            <w:r w:rsidRPr="00E63567">
              <w:rPr>
                <w:rFonts w:eastAsia="Times New Roman"/>
                <w:noProof/>
                <w:lang w:eastAsia="en-GB"/>
              </w:rPr>
              <w:drawing>
                <wp:inline distT="0" distB="0" distL="0" distR="0" wp14:anchorId="0C15CD6A" wp14:editId="3B76247D">
                  <wp:extent cx="2584450" cy="1750060"/>
                  <wp:effectExtent l="0" t="0" r="6350" b="2540"/>
                  <wp:docPr id="9" name="img90.png"/>
                  <wp:cNvGraphicFramePr/>
                  <a:graphic xmlns:a="http://schemas.openxmlformats.org/drawingml/2006/main">
                    <a:graphicData uri="http://schemas.openxmlformats.org/drawingml/2006/picture">
                      <pic:pic xmlns:pic="http://schemas.openxmlformats.org/drawingml/2006/picture">
                        <pic:nvPicPr>
                          <pic:cNvPr id="187" name="img90.png"/>
                          <pic:cNvPicPr/>
                        </pic:nvPicPr>
                        <pic:blipFill>
                          <a:blip r:embed="rId12" cstate="print"/>
                          <a:stretch>
                            <a:fillRect/>
                          </a:stretch>
                        </pic:blipFill>
                        <pic:spPr>
                          <a:xfrm>
                            <a:off x="0" y="0"/>
                            <a:ext cx="2603325" cy="1762841"/>
                          </a:xfrm>
                          <a:prstGeom prst="rect">
                            <a:avLst/>
                          </a:prstGeom>
                        </pic:spPr>
                      </pic:pic>
                    </a:graphicData>
                  </a:graphic>
                </wp:inline>
              </w:drawing>
            </w:r>
          </w:p>
        </w:tc>
      </w:tr>
    </w:tbl>
    <w:p w14:paraId="61EBA001" w14:textId="77777777" w:rsidR="00E32B54" w:rsidRPr="00E63567" w:rsidRDefault="00E32B54" w:rsidP="0064504D"/>
    <w:p w14:paraId="2766200E" w14:textId="77777777" w:rsidR="00E32B54" w:rsidRPr="00E63567" w:rsidRDefault="00E32B54" w:rsidP="0064504D">
      <w:r w:rsidRPr="00E63567">
        <w:rPr>
          <w:rFonts w:eastAsia="Times New Roman"/>
          <w:noProof/>
          <w:lang w:eastAsia="en-GB"/>
        </w:rPr>
        <w:drawing>
          <wp:inline distT="0" distB="0" distL="0" distR="0" wp14:anchorId="3E62A61A" wp14:editId="698B135A">
            <wp:extent cx="2343150" cy="1816100"/>
            <wp:effectExtent l="0" t="0" r="0" b="0"/>
            <wp:docPr id="10" name="img91.png"/>
            <wp:cNvGraphicFramePr/>
            <a:graphic xmlns:a="http://schemas.openxmlformats.org/drawingml/2006/main">
              <a:graphicData uri="http://schemas.openxmlformats.org/drawingml/2006/picture">
                <pic:pic xmlns:pic="http://schemas.openxmlformats.org/drawingml/2006/picture">
                  <pic:nvPicPr>
                    <pic:cNvPr id="189" name="img91.png"/>
                    <pic:cNvPicPr/>
                  </pic:nvPicPr>
                  <pic:blipFill>
                    <a:blip r:embed="rId13" cstate="print"/>
                    <a:stretch>
                      <a:fillRect/>
                    </a:stretch>
                  </pic:blipFill>
                  <pic:spPr>
                    <a:xfrm>
                      <a:off x="0" y="0"/>
                      <a:ext cx="2355563" cy="1825721"/>
                    </a:xfrm>
                    <a:prstGeom prst="rect">
                      <a:avLst/>
                    </a:prstGeom>
                  </pic:spPr>
                </pic:pic>
              </a:graphicData>
            </a:graphic>
          </wp:inline>
        </w:drawing>
      </w:r>
      <w:r w:rsidRPr="00E63567">
        <w:rPr>
          <w:rFonts w:eastAsia="Times New Roman"/>
          <w:noProof/>
          <w:lang w:eastAsia="en-GB"/>
        </w:rPr>
        <w:drawing>
          <wp:inline distT="0" distB="0" distL="0" distR="0" wp14:anchorId="177250B8" wp14:editId="178F6156">
            <wp:extent cx="2667000" cy="1911350"/>
            <wp:effectExtent l="0" t="0" r="0" b="0"/>
            <wp:docPr id="11" name="img92.png"/>
            <wp:cNvGraphicFramePr/>
            <a:graphic xmlns:a="http://schemas.openxmlformats.org/drawingml/2006/main">
              <a:graphicData uri="http://schemas.openxmlformats.org/drawingml/2006/picture">
                <pic:pic xmlns:pic="http://schemas.openxmlformats.org/drawingml/2006/picture">
                  <pic:nvPicPr>
                    <pic:cNvPr id="191" name="img92.png"/>
                    <pic:cNvPicPr/>
                  </pic:nvPicPr>
                  <pic:blipFill>
                    <a:blip r:embed="rId14" cstate="print"/>
                    <a:stretch>
                      <a:fillRect/>
                    </a:stretch>
                  </pic:blipFill>
                  <pic:spPr>
                    <a:xfrm>
                      <a:off x="0" y="0"/>
                      <a:ext cx="2684061" cy="1923577"/>
                    </a:xfrm>
                    <a:prstGeom prst="rect">
                      <a:avLst/>
                    </a:prstGeom>
                  </pic:spPr>
                </pic:pic>
              </a:graphicData>
            </a:graphic>
          </wp:inline>
        </w:drawing>
      </w:r>
    </w:p>
    <w:p w14:paraId="13E87CD3" w14:textId="77777777" w:rsidR="00E32B54" w:rsidRPr="00E63567" w:rsidRDefault="00E32B54" w:rsidP="0064504D">
      <w:r w:rsidRPr="00E63567">
        <w:t xml:space="preserve">Highlight from consideration of this data </w:t>
      </w:r>
      <w:proofErr w:type="gramStart"/>
      <w:r w:rsidRPr="00E63567">
        <w:t>evidences</w:t>
      </w:r>
      <w:proofErr w:type="gramEnd"/>
      <w:r w:rsidRPr="00E63567">
        <w:t xml:space="preserve"> the commitment to the students in focussing on career readiness by Level 6. The number of students who are sorted or complete in terms of their plan for post-graduation appears to have increased significantly and something we need to work on in reducing the number of students in the ‘plan’ stage. This also could be clarified and investigated in line with the graduate outcome data to ensure that the students plan also encourages managerial roles and targets. </w:t>
      </w:r>
    </w:p>
    <w:p w14:paraId="5D196F55" w14:textId="63218DFA" w:rsidR="00E32B54" w:rsidRPr="00E63567" w:rsidRDefault="00E32B54" w:rsidP="0064504D">
      <w:pPr>
        <w:rPr>
          <w:b/>
          <w:bCs/>
        </w:rPr>
      </w:pPr>
      <w:r w:rsidRPr="00E63567">
        <w:rPr>
          <w:b/>
          <w:bCs/>
        </w:rPr>
        <w:t xml:space="preserve">Future developments: 2021/2022 aims </w:t>
      </w:r>
    </w:p>
    <w:p w14:paraId="712183D3"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Revalidation of all school programmes to include an Employability and Professional strand throughout all programmes </w:t>
      </w:r>
    </w:p>
    <w:p w14:paraId="2DCB1988"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Build a culture of double-duty balancing academic and employability embedded within the programmes – this will include curricular content and extra-curricular opportunities. </w:t>
      </w:r>
    </w:p>
    <w:p w14:paraId="639F5530"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Create a careers and employability canvas site for access by all programmes across the school as a central point. </w:t>
      </w:r>
    </w:p>
    <w:p w14:paraId="72940A05"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Host an employability skills hub consultation with employers post-covid to establish new skills required for graduates and students. </w:t>
      </w:r>
    </w:p>
    <w:p w14:paraId="34515E20"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Continue to work closely with Laura Aldridge in Careers and the placement support unit to establish an equitable experience for all students on all programmes and minimise discrepancies in provision. </w:t>
      </w:r>
    </w:p>
    <w:p w14:paraId="3094B24A"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Improve the employability and managerial level jobs on the graduate outcome survey – more likely for a reporting in 2023 but work will commence in 2021 for the cohort. </w:t>
      </w:r>
    </w:p>
    <w:p w14:paraId="5388915B" w14:textId="77777777" w:rsidR="00E32B54" w:rsidRPr="00E63567" w:rsidRDefault="00E32B54" w:rsidP="00E32B54">
      <w:pPr>
        <w:pStyle w:val="ListParagraph"/>
        <w:numPr>
          <w:ilvl w:val="0"/>
          <w:numId w:val="17"/>
        </w:numPr>
        <w:spacing w:before="0" w:after="120"/>
        <w:rPr>
          <w:sz w:val="22"/>
          <w:szCs w:val="22"/>
        </w:rPr>
      </w:pPr>
      <w:r w:rsidRPr="00E63567">
        <w:rPr>
          <w:sz w:val="22"/>
          <w:szCs w:val="22"/>
        </w:rPr>
        <w:t xml:space="preserve">Consider and report on the Graduate outcome survey for 21/22. </w:t>
      </w:r>
    </w:p>
    <w:p w14:paraId="7AB7A4EB" w14:textId="745E9C1A" w:rsidR="00C468FE" w:rsidRPr="00E63567" w:rsidRDefault="00E32B54" w:rsidP="0064504D">
      <w:pPr>
        <w:pStyle w:val="ListParagraph"/>
        <w:numPr>
          <w:ilvl w:val="0"/>
          <w:numId w:val="17"/>
        </w:numPr>
        <w:spacing w:before="0"/>
        <w:rPr>
          <w:sz w:val="22"/>
          <w:szCs w:val="22"/>
        </w:rPr>
      </w:pPr>
      <w:r w:rsidRPr="00E63567">
        <w:rPr>
          <w:sz w:val="22"/>
          <w:szCs w:val="22"/>
        </w:rPr>
        <w:t xml:space="preserve">Consider the Career Readiness data to aid the formulation of a plan per programme and school based. </w:t>
      </w:r>
    </w:p>
    <w:sectPr w:rsidR="00C468FE" w:rsidRPr="00E6356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2AF9" w14:textId="77777777" w:rsidR="0064504D" w:rsidRDefault="0064504D" w:rsidP="00C17DE8">
      <w:r>
        <w:separator/>
      </w:r>
    </w:p>
  </w:endnote>
  <w:endnote w:type="continuationSeparator" w:id="0">
    <w:p w14:paraId="3AABD608" w14:textId="77777777" w:rsidR="0064504D" w:rsidRDefault="0064504D" w:rsidP="00C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34F6" w14:textId="77777777" w:rsidR="0064504D" w:rsidRDefault="0064504D" w:rsidP="00C17DE8">
      <w:r>
        <w:separator/>
      </w:r>
    </w:p>
  </w:footnote>
  <w:footnote w:type="continuationSeparator" w:id="0">
    <w:p w14:paraId="44A8829A" w14:textId="77777777" w:rsidR="0064504D" w:rsidRDefault="0064504D" w:rsidP="00C1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8329"/>
      <w:docPartObj>
        <w:docPartGallery w:val="Page Numbers (Top of Page)"/>
        <w:docPartUnique/>
      </w:docPartObj>
    </w:sdtPr>
    <w:sdtEndPr>
      <w:rPr>
        <w:noProof/>
      </w:rPr>
    </w:sdtEndPr>
    <w:sdtContent>
      <w:p w14:paraId="5FFCAB1C" w14:textId="363F7595" w:rsidR="0064504D" w:rsidRDefault="0064504D" w:rsidP="00C17DE8">
        <w:pPr>
          <w:pStyle w:val="Header"/>
          <w:jc w:val="right"/>
        </w:pPr>
        <w:r>
          <w:fldChar w:fldCharType="begin"/>
        </w:r>
        <w:r>
          <w:instrText xml:space="preserve"> PAGE   \* MERGEFORMAT </w:instrText>
        </w:r>
        <w:r>
          <w:fldChar w:fldCharType="separate"/>
        </w:r>
        <w:r w:rsidR="00711DA0">
          <w:rPr>
            <w:noProof/>
          </w:rPr>
          <w:t>1</w:t>
        </w:r>
        <w:r>
          <w:rPr>
            <w:noProof/>
          </w:rPr>
          <w:fldChar w:fldCharType="end"/>
        </w:r>
      </w:p>
    </w:sdtContent>
  </w:sdt>
  <w:p w14:paraId="7C79FF7C" w14:textId="77777777" w:rsidR="0064504D" w:rsidRDefault="0064504D" w:rsidP="00C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E33"/>
    <w:multiLevelType w:val="hybridMultilevel"/>
    <w:tmpl w:val="6AF00A8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0CAB3E25"/>
    <w:multiLevelType w:val="hybridMultilevel"/>
    <w:tmpl w:val="9EE89E6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297074"/>
    <w:multiLevelType w:val="hybridMultilevel"/>
    <w:tmpl w:val="A0686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F0030"/>
    <w:multiLevelType w:val="hybridMultilevel"/>
    <w:tmpl w:val="9CF62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45372"/>
    <w:multiLevelType w:val="hybridMultilevel"/>
    <w:tmpl w:val="286C142C"/>
    <w:lvl w:ilvl="0" w:tplc="57FA64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C42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5ACC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CF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3EC8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842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8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622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EBE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720DDD"/>
    <w:multiLevelType w:val="hybridMultilevel"/>
    <w:tmpl w:val="E5569200"/>
    <w:lvl w:ilvl="0" w:tplc="28A82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AD38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2059D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80B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E466C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3E02F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3A013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38075E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A28885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BD3392"/>
    <w:multiLevelType w:val="hybridMultilevel"/>
    <w:tmpl w:val="44EA2D96"/>
    <w:lvl w:ilvl="0" w:tplc="2ECCA432">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EC75A">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42E2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B8AAA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D0DEA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36BCC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60C0D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D0A0D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11266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BF6669"/>
    <w:multiLevelType w:val="hybridMultilevel"/>
    <w:tmpl w:val="371693BA"/>
    <w:lvl w:ilvl="0" w:tplc="A93AAE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2FAF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00883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1E8D17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5C2CB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5D8BB8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D24E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B1844A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A26EFF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3472C9"/>
    <w:multiLevelType w:val="hybridMultilevel"/>
    <w:tmpl w:val="ECC04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A2A4B"/>
    <w:multiLevelType w:val="hybridMultilevel"/>
    <w:tmpl w:val="B90C7670"/>
    <w:lvl w:ilvl="0" w:tplc="10A4E26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7C3EFC"/>
    <w:multiLevelType w:val="hybridMultilevel"/>
    <w:tmpl w:val="118CA7A6"/>
    <w:lvl w:ilvl="0" w:tplc="4A68F13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7CFAC8">
      <w:start w:val="1"/>
      <w:numFmt w:val="bullet"/>
      <w:lvlText w:val="o"/>
      <w:lvlJc w:val="left"/>
      <w:pPr>
        <w:ind w:left="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F80FAC">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FF4304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44CD7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F449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06E0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421F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0653A3"/>
    <w:multiLevelType w:val="hybridMultilevel"/>
    <w:tmpl w:val="D8EA4B26"/>
    <w:lvl w:ilvl="0" w:tplc="2FD67D8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8C5C8E"/>
    <w:multiLevelType w:val="hybridMultilevel"/>
    <w:tmpl w:val="FBB4B1F6"/>
    <w:lvl w:ilvl="0" w:tplc="C0B8089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0651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BA3CC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134347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D4AA6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1ECEB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54EBCF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ECC27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9B58DA"/>
    <w:multiLevelType w:val="hybridMultilevel"/>
    <w:tmpl w:val="3B9C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52AAC"/>
    <w:multiLevelType w:val="hybridMultilevel"/>
    <w:tmpl w:val="6526F6A8"/>
    <w:lvl w:ilvl="0" w:tplc="5492BF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0E09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6607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1E7B1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8600A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12A6F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BC5D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D7AFB5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FEF2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391406"/>
    <w:multiLevelType w:val="hybridMultilevel"/>
    <w:tmpl w:val="B4F800EC"/>
    <w:lvl w:ilvl="0" w:tplc="9BFC8D2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9C6CA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0EA6A">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41CDAB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BD202A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6CC8E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A4EAF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FAE426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AF2313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AF749A"/>
    <w:multiLevelType w:val="hybridMultilevel"/>
    <w:tmpl w:val="38DCA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7672B4"/>
    <w:multiLevelType w:val="hybridMultilevel"/>
    <w:tmpl w:val="E95C1B88"/>
    <w:lvl w:ilvl="0" w:tplc="9DE002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050C">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38A274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6244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1E64A6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970717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EE17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EAAB51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F34D86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6"/>
  </w:num>
  <w:num w:numId="3">
    <w:abstractNumId w:val="3"/>
  </w:num>
  <w:num w:numId="4">
    <w:abstractNumId w:val="13"/>
  </w:num>
  <w:num w:numId="5">
    <w:abstractNumId w:val="12"/>
  </w:num>
  <w:num w:numId="6">
    <w:abstractNumId w:val="17"/>
  </w:num>
  <w:num w:numId="7">
    <w:abstractNumId w:val="14"/>
  </w:num>
  <w:num w:numId="8">
    <w:abstractNumId w:val="4"/>
  </w:num>
  <w:num w:numId="9">
    <w:abstractNumId w:val="5"/>
  </w:num>
  <w:num w:numId="10">
    <w:abstractNumId w:val="7"/>
  </w:num>
  <w:num w:numId="11">
    <w:abstractNumId w:val="15"/>
  </w:num>
  <w:num w:numId="12">
    <w:abstractNumId w:val="6"/>
  </w:num>
  <w:num w:numId="13">
    <w:abstractNumId w:val="0"/>
  </w:num>
  <w:num w:numId="14">
    <w:abstractNumId w:val="10"/>
  </w:num>
  <w:num w:numId="15">
    <w:abstractNumId w:val="11"/>
  </w:num>
  <w:num w:numId="16">
    <w:abstractNumId w:val="2"/>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FE"/>
    <w:rsid w:val="00012025"/>
    <w:rsid w:val="00022CE4"/>
    <w:rsid w:val="001E2C69"/>
    <w:rsid w:val="00212E3E"/>
    <w:rsid w:val="002316DA"/>
    <w:rsid w:val="00273E14"/>
    <w:rsid w:val="00307B8E"/>
    <w:rsid w:val="00336EA7"/>
    <w:rsid w:val="003E1DC3"/>
    <w:rsid w:val="0043313E"/>
    <w:rsid w:val="004637D5"/>
    <w:rsid w:val="00464350"/>
    <w:rsid w:val="004B548E"/>
    <w:rsid w:val="00543494"/>
    <w:rsid w:val="0064504D"/>
    <w:rsid w:val="00645504"/>
    <w:rsid w:val="00673452"/>
    <w:rsid w:val="00677FEC"/>
    <w:rsid w:val="00711DA0"/>
    <w:rsid w:val="00823782"/>
    <w:rsid w:val="008E75C5"/>
    <w:rsid w:val="00A43E50"/>
    <w:rsid w:val="00AE3DF1"/>
    <w:rsid w:val="00AF0C5B"/>
    <w:rsid w:val="00AF5B45"/>
    <w:rsid w:val="00B01AF1"/>
    <w:rsid w:val="00C000B2"/>
    <w:rsid w:val="00C03385"/>
    <w:rsid w:val="00C1481B"/>
    <w:rsid w:val="00C17DE8"/>
    <w:rsid w:val="00C468FE"/>
    <w:rsid w:val="00C95925"/>
    <w:rsid w:val="00CC7C70"/>
    <w:rsid w:val="00D46CB6"/>
    <w:rsid w:val="00E13EA1"/>
    <w:rsid w:val="00E25B5F"/>
    <w:rsid w:val="00E32B54"/>
    <w:rsid w:val="00E63567"/>
    <w:rsid w:val="00EA49EA"/>
    <w:rsid w:val="00F96ECE"/>
    <w:rsid w:val="00FD049F"/>
    <w:rsid w:val="00FF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2473"/>
  <w15:chartTrackingRefBased/>
  <w15:docId w15:val="{B88D149D-94D0-4D25-804A-40DB317D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E8"/>
    <w:rPr>
      <w:rFonts w:ascii="Arial" w:hAnsi="Arial" w:cs="Arial"/>
    </w:rPr>
  </w:style>
  <w:style w:type="paragraph" w:styleId="Heading1">
    <w:name w:val="heading 1"/>
    <w:basedOn w:val="Normal"/>
    <w:next w:val="Normal"/>
    <w:link w:val="Heading1Char"/>
    <w:uiPriority w:val="9"/>
    <w:qFormat/>
    <w:rsid w:val="00012025"/>
    <w:pPr>
      <w:spacing w:before="240" w:after="0" w:line="240" w:lineRule="auto"/>
      <w:outlineLvl w:val="0"/>
    </w:pPr>
    <w:rPr>
      <w:b/>
      <w:szCs w:val="24"/>
    </w:rPr>
  </w:style>
  <w:style w:type="paragraph" w:styleId="Heading2">
    <w:name w:val="heading 2"/>
    <w:next w:val="Normal"/>
    <w:link w:val="Heading2Char"/>
    <w:uiPriority w:val="9"/>
    <w:unhideWhenUsed/>
    <w:qFormat/>
    <w:rsid w:val="00C17DE8"/>
    <w:pPr>
      <w:keepNext/>
      <w:keepLines/>
      <w:spacing w:after="0"/>
      <w:ind w:left="10" w:hanging="10"/>
      <w:outlineLvl w:val="1"/>
    </w:pPr>
    <w:rPr>
      <w:rFonts w:ascii="Arial" w:eastAsia="Arial" w:hAnsi="Arial" w:cs="Arial"/>
      <w:b/>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DC3"/>
    <w:pPr>
      <w:tabs>
        <w:tab w:val="center" w:pos="4513"/>
        <w:tab w:val="right" w:pos="9026"/>
      </w:tabs>
      <w:spacing w:before="120" w:after="0" w:line="240" w:lineRule="auto"/>
    </w:pPr>
    <w:rPr>
      <w:sz w:val="24"/>
      <w:szCs w:val="24"/>
    </w:rPr>
  </w:style>
  <w:style w:type="character" w:customStyle="1" w:styleId="HeaderChar">
    <w:name w:val="Header Char"/>
    <w:basedOn w:val="DefaultParagraphFont"/>
    <w:link w:val="Header"/>
    <w:uiPriority w:val="99"/>
    <w:rsid w:val="003E1DC3"/>
    <w:rPr>
      <w:rFonts w:ascii="Arial" w:hAnsi="Arial" w:cs="Arial"/>
      <w:sz w:val="24"/>
      <w:szCs w:val="24"/>
    </w:rPr>
  </w:style>
  <w:style w:type="table" w:styleId="TableGrid">
    <w:name w:val="Table Grid"/>
    <w:basedOn w:val="TableNormal"/>
    <w:uiPriority w:val="39"/>
    <w:rsid w:val="003E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DC3"/>
    <w:pPr>
      <w:spacing w:before="120" w:after="0" w:line="240" w:lineRule="auto"/>
      <w:ind w:left="720"/>
      <w:contextualSpacing/>
    </w:pPr>
    <w:rPr>
      <w:sz w:val="24"/>
      <w:szCs w:val="24"/>
    </w:rPr>
  </w:style>
  <w:style w:type="character" w:customStyle="1" w:styleId="Heading1Char">
    <w:name w:val="Heading 1 Char"/>
    <w:basedOn w:val="DefaultParagraphFont"/>
    <w:link w:val="Heading1"/>
    <w:uiPriority w:val="9"/>
    <w:rsid w:val="00012025"/>
    <w:rPr>
      <w:rFonts w:ascii="Arial" w:hAnsi="Arial" w:cs="Arial"/>
      <w:b/>
      <w:szCs w:val="24"/>
    </w:rPr>
  </w:style>
  <w:style w:type="paragraph" w:styleId="Footer">
    <w:name w:val="footer"/>
    <w:basedOn w:val="Normal"/>
    <w:link w:val="FooterChar"/>
    <w:uiPriority w:val="99"/>
    <w:unhideWhenUsed/>
    <w:rsid w:val="00C17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E8"/>
  </w:style>
  <w:style w:type="character" w:customStyle="1" w:styleId="Heading2Char">
    <w:name w:val="Heading 2 Char"/>
    <w:basedOn w:val="DefaultParagraphFont"/>
    <w:link w:val="Heading2"/>
    <w:uiPriority w:val="9"/>
    <w:rsid w:val="00C17DE8"/>
    <w:rPr>
      <w:rFonts w:ascii="Arial" w:eastAsia="Arial" w:hAnsi="Arial" w:cs="Arial"/>
      <w:b/>
      <w: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058FA71CB554EB11D24A7060B84EE" ma:contentTypeVersion="" ma:contentTypeDescription="Create a new document." ma:contentTypeScope="" ma:versionID="58183cd4cf630a9a926730ab2a8720a6">
  <xsd:schema xmlns:xsd="http://www.w3.org/2001/XMLSchema" xmlns:xs="http://www.w3.org/2001/XMLSchema" xmlns:p="http://schemas.microsoft.com/office/2006/metadata/properties" xmlns:ns2="184C21E2-F569-46A1-8733-E790514B2B6E" xmlns:ns3="3a371346-73fb-45a1-a5e8-403752f850c9" targetNamespace="http://schemas.microsoft.com/office/2006/metadata/properties" ma:root="true" ma:fieldsID="4621f3c7c94c297d2d30f1010a681bb1" ns2:_="" ns3:_="">
    <xsd:import namespace="184C21E2-F569-46A1-8733-E790514B2B6E"/>
    <xsd:import namespace="3a371346-73fb-45a1-a5e8-403752f850c9"/>
    <xsd:element name="properties">
      <xsd:complexType>
        <xsd:sequence>
          <xsd:element name="documentManagement">
            <xsd:complexType>
              <xsd:all>
                <xsd:element ref="ns2:Meeting_x0020_Date"/>
                <xsd:element ref="ns3:Academic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C21E2-F569-46A1-8733-E790514B2B6E"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71346-73fb-45a1-a5e8-403752f850c9" elementFormDefault="qualified">
    <xsd:import namespace="http://schemas.microsoft.com/office/2006/documentManagement/types"/>
    <xsd:import namespace="http://schemas.microsoft.com/office/infopath/2007/PartnerControls"/>
    <xsd:element name="Academic_x0020_Year" ma:index="9" ma:displayName="Academic Year" ma:default="2020 - 2021" ma:format="Dropdown" ma:internalName="Academic_x0020_Year">
      <xsd:simpleType>
        <xsd:restriction base="dms:Choice">
          <xsd:enumeration value="2005 - 2006"/>
          <xsd:enumeration value="2006 - 2007"/>
          <xsd:enumeration value="2007 - 2008"/>
          <xsd:enumeration value="2008 - 2009"/>
          <xsd:enumeration value="2009 -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ademic_x0020_Year xmlns="3a371346-73fb-45a1-a5e8-403752f850c9">2020 - 2021</Academic_x0020_Year>
    <Meeting_x0020_Date xmlns="184C21E2-F569-46A1-8733-E790514B2B6E">2021-06-29T23:00:00+00:00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97073-91C1-4E8A-9AA5-68F0BED8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C21E2-F569-46A1-8733-E790514B2B6E"/>
    <ds:schemaRef ds:uri="3a371346-73fb-45a1-a5e8-403752f85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A95A2-451A-4122-BB3B-698B180D4C9A}">
  <ds:schemaRefs>
    <ds:schemaRef ds:uri="http://www.w3.org/XML/1998/namespace"/>
    <ds:schemaRef ds:uri="3a371346-73fb-45a1-a5e8-403752f850c9"/>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184C21E2-F569-46A1-8733-E790514B2B6E"/>
  </ds:schemaRefs>
</ds:datastoreItem>
</file>

<file path=customXml/itemProps3.xml><?xml version="1.0" encoding="utf-8"?>
<ds:datastoreItem xmlns:ds="http://schemas.openxmlformats.org/officeDocument/2006/customXml" ds:itemID="{F390533B-DE6C-4915-A85C-52AC411B2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Introduction</vt:lpstr>
      <vt:lpstr>Future objectives</vt:lpstr>
      <vt:lpstr>Introduction</vt:lpstr>
      <vt:lpstr>Publicly commit priority status to tackling racial harassment; Improve awareness</vt:lpstr>
      <vt:lpstr>Review current policies and procedures and develop new institution-wide strategi</vt:lpstr>
      <vt:lpstr>Collect data on reports of incidents and share regularly with senior staff and g</vt:lpstr>
      <vt:lpstr>Review current policies and procedures and develop new institution-wide strategi</vt:lpstr>
      <vt:lpstr>Summary</vt:lpstr>
      <vt:lpstr>Introduction </vt:lpstr>
      <vt:lpstr>Context </vt:lpstr>
      <vt:lpstr>    Office for Students Data </vt:lpstr>
      <vt:lpstr>    Institutional Data </vt:lpstr>
      <vt:lpstr>Activities </vt:lpstr>
      <vt:lpstr>    Student Advancement Activities </vt:lpstr>
      <vt:lpstr>Placements </vt:lpstr>
      <vt:lpstr>    Programme Activities </vt:lpstr>
      <vt:lpstr>    Future Developments </vt:lpstr>
      <vt:lpstr>    Summary </vt:lpstr>
      <vt:lpstr>Introduction</vt:lpstr>
      <vt:lpstr>    Activities in 2020/2021- </vt:lpstr>
      <vt:lpstr>    School Connections – </vt:lpstr>
      <vt:lpstr>Summary – Engagement with LJMU Employability and Careers Provision </vt:lpstr>
    </vt:vector>
  </TitlesOfParts>
  <Company>Liverpool John Moores University</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Denton, Philip</cp:lastModifiedBy>
  <cp:revision>2</cp:revision>
  <dcterms:created xsi:type="dcterms:W3CDTF">2022-03-23T11:50:00Z</dcterms:created>
  <dcterms:modified xsi:type="dcterms:W3CDTF">2022-03-23T11:50:00Z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0x010100B4B058FA71CB554EB11D24A7060B84EE</vt:lpwstr>
  </property>
</Properties>
</file>