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62" w:rsidRDefault="00F07482">
      <w:pPr>
        <w:rPr>
          <w:b/>
        </w:rPr>
      </w:pPr>
      <w:r w:rsidRPr="00F07482">
        <w:rPr>
          <w:b/>
        </w:rPr>
        <w:t>Meetings between Directors,</w:t>
      </w:r>
      <w:r>
        <w:rPr>
          <w:b/>
        </w:rPr>
        <w:t xml:space="preserve"> UG</w:t>
      </w:r>
      <w:r w:rsidRPr="00F07482">
        <w:rPr>
          <w:b/>
        </w:rPr>
        <w:t xml:space="preserve"> Programme Leaders and Associate Dean (Education) 201</w:t>
      </w:r>
      <w:r w:rsidR="00714E97">
        <w:rPr>
          <w:b/>
        </w:rPr>
        <w:t>7</w:t>
      </w:r>
      <w:r w:rsidRPr="00F07482">
        <w:rPr>
          <w:b/>
        </w:rPr>
        <w:t>/</w:t>
      </w:r>
      <w:r>
        <w:rPr>
          <w:b/>
        </w:rPr>
        <w:t>1</w:t>
      </w:r>
      <w:r w:rsidR="00714E97">
        <w:rPr>
          <w:b/>
        </w:rPr>
        <w:t>8</w:t>
      </w:r>
    </w:p>
    <w:p w:rsidR="00F07482" w:rsidRDefault="00F07482">
      <w:pPr>
        <w:rPr>
          <w:b/>
        </w:rPr>
      </w:pPr>
    </w:p>
    <w:p w:rsidR="00F07482" w:rsidRDefault="00F07482">
      <w:r>
        <w:t>A meeting involving each UG Programme Leader</w:t>
      </w:r>
      <w:r w:rsidR="00DF6895">
        <w:t>/Director</w:t>
      </w:r>
      <w:r>
        <w:t xml:space="preserve"> took place in </w:t>
      </w:r>
      <w:r w:rsidR="00714E97">
        <w:t>2017/18</w:t>
      </w:r>
      <w:r>
        <w:t xml:space="preserve">.  </w:t>
      </w:r>
      <w:r w:rsidR="00916506">
        <w:t>D</w:t>
      </w:r>
      <w:r>
        <w:t>iscussion points:</w:t>
      </w:r>
    </w:p>
    <w:p w:rsidR="00F07482" w:rsidRDefault="00F074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27" w:type="dxa"/>
        </w:tblCellMar>
        <w:tblLook w:val="04A0" w:firstRow="1" w:lastRow="0" w:firstColumn="1" w:lastColumn="0" w:noHBand="0" w:noVBand="1"/>
      </w:tblPr>
      <w:tblGrid>
        <w:gridCol w:w="4621"/>
        <w:gridCol w:w="4621"/>
      </w:tblGrid>
      <w:tr w:rsidR="005E61FF" w:rsidTr="005E61FF">
        <w:tc>
          <w:tcPr>
            <w:tcW w:w="4621" w:type="dxa"/>
          </w:tcPr>
          <w:p w:rsidR="005E61FF" w:rsidRPr="005E61FF" w:rsidRDefault="005E61FF" w:rsidP="005E61FF">
            <w:pPr>
              <w:rPr>
                <w:b/>
              </w:rPr>
            </w:pPr>
            <w:r w:rsidRPr="005E61FF">
              <w:rPr>
                <w:b/>
              </w:rPr>
              <w:t>Semester 1</w:t>
            </w:r>
          </w:p>
          <w:p w:rsidR="005E61FF" w:rsidRDefault="005E61FF" w:rsidP="005E61FF">
            <w:pPr>
              <w:pStyle w:val="ListParagraph"/>
              <w:numPr>
                <w:ilvl w:val="0"/>
                <w:numId w:val="1"/>
              </w:numPr>
            </w:pPr>
            <w:r>
              <w:t xml:space="preserve">NSS </w:t>
            </w:r>
            <w:r w:rsidR="00714E97">
              <w:t>outcomes</w:t>
            </w:r>
            <w:r>
              <w:t xml:space="preserve"> </w:t>
            </w:r>
          </w:p>
          <w:p w:rsidR="005E61FF" w:rsidRDefault="00714E97" w:rsidP="005E61FF">
            <w:pPr>
              <w:pStyle w:val="ListParagraph"/>
              <w:numPr>
                <w:ilvl w:val="0"/>
                <w:numId w:val="1"/>
              </w:numPr>
            </w:pPr>
            <w:r>
              <w:t>Retention</w:t>
            </w:r>
          </w:p>
          <w:p w:rsidR="005E61FF" w:rsidRDefault="005E61FF" w:rsidP="005E61FF">
            <w:pPr>
              <w:pStyle w:val="ListParagraph"/>
              <w:numPr>
                <w:ilvl w:val="0"/>
                <w:numId w:val="1"/>
              </w:numPr>
            </w:pPr>
            <w:r>
              <w:t>Final</w:t>
            </w:r>
            <w:r w:rsidR="00407898">
              <w:t>-</w:t>
            </w:r>
            <w:r>
              <w:t>year module evaluation</w:t>
            </w:r>
          </w:p>
          <w:p w:rsidR="005E61FF" w:rsidRDefault="005E61FF" w:rsidP="005E61FF">
            <w:pPr>
              <w:pStyle w:val="ListParagraph"/>
              <w:numPr>
                <w:ilvl w:val="0"/>
                <w:numId w:val="1"/>
              </w:numPr>
            </w:pPr>
            <w:r>
              <w:t>Application and conversion data</w:t>
            </w:r>
            <w:r>
              <w:tab/>
            </w:r>
          </w:p>
          <w:p w:rsidR="00407898" w:rsidRDefault="005E61FF" w:rsidP="005E61FF">
            <w:pPr>
              <w:pStyle w:val="ListParagraph"/>
              <w:numPr>
                <w:ilvl w:val="0"/>
                <w:numId w:val="1"/>
              </w:numPr>
            </w:pPr>
            <w:r>
              <w:t>Programme Team meetings</w:t>
            </w:r>
          </w:p>
          <w:p w:rsidR="005E61FF" w:rsidRDefault="005E61FF" w:rsidP="005E61FF">
            <w:pPr>
              <w:pStyle w:val="ListParagraph"/>
              <w:numPr>
                <w:ilvl w:val="0"/>
                <w:numId w:val="1"/>
              </w:numPr>
            </w:pPr>
            <w:r>
              <w:t>Emerging issues/actions</w:t>
            </w:r>
          </w:p>
          <w:p w:rsidR="005E61FF" w:rsidRDefault="00714E97" w:rsidP="00893226">
            <w:pPr>
              <w:pStyle w:val="ListParagraph"/>
              <w:numPr>
                <w:ilvl w:val="0"/>
                <w:numId w:val="1"/>
              </w:numPr>
            </w:pPr>
            <w:r>
              <w:t>Learning Enhancement items</w:t>
            </w:r>
          </w:p>
        </w:tc>
        <w:tc>
          <w:tcPr>
            <w:tcW w:w="4621" w:type="dxa"/>
          </w:tcPr>
          <w:p w:rsidR="005E61FF" w:rsidRPr="005E61FF" w:rsidRDefault="005E61FF" w:rsidP="005E61FF">
            <w:pPr>
              <w:rPr>
                <w:b/>
              </w:rPr>
            </w:pPr>
            <w:r w:rsidRPr="005E61FF">
              <w:rPr>
                <w:b/>
              </w:rPr>
              <w:t>Semester 2</w:t>
            </w:r>
          </w:p>
          <w:p w:rsidR="005E61FF" w:rsidRDefault="00714E97" w:rsidP="005E61FF">
            <w:pPr>
              <w:pStyle w:val="ListParagraph"/>
              <w:numPr>
                <w:ilvl w:val="0"/>
                <w:numId w:val="1"/>
              </w:numPr>
            </w:pPr>
            <w:r>
              <w:t>Open/</w:t>
            </w:r>
            <w:r w:rsidR="005E61FF">
              <w:t>Applicant days</w:t>
            </w:r>
            <w:r w:rsidR="005E61FF">
              <w:tab/>
            </w:r>
          </w:p>
          <w:p w:rsidR="005E61FF" w:rsidRDefault="00714E97" w:rsidP="005E61FF">
            <w:pPr>
              <w:pStyle w:val="ListParagraph"/>
              <w:numPr>
                <w:ilvl w:val="0"/>
                <w:numId w:val="1"/>
              </w:numPr>
            </w:pPr>
            <w:r>
              <w:t xml:space="preserve">Staff for clearing </w:t>
            </w:r>
          </w:p>
          <w:p w:rsidR="00714E97" w:rsidRDefault="00714E97" w:rsidP="00714E97">
            <w:pPr>
              <w:pStyle w:val="ListParagraph"/>
              <w:numPr>
                <w:ilvl w:val="0"/>
                <w:numId w:val="1"/>
              </w:numPr>
            </w:pPr>
            <w:r>
              <w:t xml:space="preserve">Induction </w:t>
            </w:r>
          </w:p>
          <w:p w:rsidR="00714E97" w:rsidRDefault="00714E97" w:rsidP="00714E97">
            <w:pPr>
              <w:pStyle w:val="ListParagraph"/>
              <w:numPr>
                <w:ilvl w:val="0"/>
                <w:numId w:val="1"/>
              </w:numPr>
            </w:pPr>
            <w:r>
              <w:t>Delivery issues/Staff availability</w:t>
            </w:r>
          </w:p>
          <w:p w:rsidR="00714E97" w:rsidRDefault="00714E97" w:rsidP="00714E97">
            <w:pPr>
              <w:pStyle w:val="ListParagraph"/>
              <w:numPr>
                <w:ilvl w:val="0"/>
                <w:numId w:val="1"/>
              </w:numPr>
            </w:pPr>
            <w:r>
              <w:t xml:space="preserve">Programme Team meetings </w:t>
            </w:r>
          </w:p>
          <w:p w:rsidR="005E61FF" w:rsidRDefault="005E61FF" w:rsidP="005E61FF">
            <w:pPr>
              <w:pStyle w:val="ListParagraph"/>
              <w:numPr>
                <w:ilvl w:val="0"/>
                <w:numId w:val="1"/>
              </w:numPr>
            </w:pPr>
            <w:r>
              <w:t>Delivery issues/Staff availability</w:t>
            </w:r>
          </w:p>
          <w:p w:rsidR="005E61FF" w:rsidRDefault="005E61FF" w:rsidP="00407898">
            <w:pPr>
              <w:pStyle w:val="ListParagraph"/>
              <w:numPr>
                <w:ilvl w:val="0"/>
                <w:numId w:val="1"/>
              </w:numPr>
            </w:pPr>
            <w:r>
              <w:t>Learning Enhancement items</w:t>
            </w:r>
          </w:p>
        </w:tc>
      </w:tr>
    </w:tbl>
    <w:p w:rsidR="005E61FF" w:rsidRDefault="005E61FF"/>
    <w:p w:rsidR="00864E65" w:rsidRPr="00C05FF0" w:rsidRDefault="00C05FF0" w:rsidP="00407898">
      <w:pPr>
        <w:pStyle w:val="ListParagraph"/>
        <w:ind w:left="0"/>
        <w:rPr>
          <w:b/>
        </w:rPr>
      </w:pPr>
      <w:r w:rsidRPr="00C05FF0">
        <w:rPr>
          <w:b/>
        </w:rPr>
        <w:t>Selected outcomes</w:t>
      </w:r>
    </w:p>
    <w:p w:rsidR="00C05FF0" w:rsidRPr="00864E65" w:rsidRDefault="00C05FF0" w:rsidP="00407898">
      <w:pPr>
        <w:pStyle w:val="ListParagraph"/>
        <w:ind w:left="0"/>
        <w:rPr>
          <w:b/>
          <w:sz w:val="12"/>
          <w:szCs w:val="12"/>
        </w:rPr>
      </w:pPr>
    </w:p>
    <w:p w:rsidR="00864E65" w:rsidRPr="00864E65" w:rsidRDefault="00864E65" w:rsidP="00407898">
      <w:pPr>
        <w:pStyle w:val="ListParagraph"/>
        <w:ind w:left="0"/>
        <w:rPr>
          <w:b/>
          <w:i/>
        </w:rPr>
      </w:pPr>
      <w:r w:rsidRPr="00864E65">
        <w:rPr>
          <w:b/>
          <w:i/>
        </w:rPr>
        <w:t>NSS</w:t>
      </w:r>
    </w:p>
    <w:p w:rsidR="008B31A8" w:rsidRPr="001B4692" w:rsidRDefault="001B4692" w:rsidP="008B31A8">
      <w:pPr>
        <w:pStyle w:val="ListParagraph"/>
        <w:numPr>
          <w:ilvl w:val="0"/>
          <w:numId w:val="5"/>
        </w:numPr>
        <w:rPr>
          <w:i/>
        </w:rPr>
      </w:pPr>
      <w:r>
        <w:t>Mixed success with lunches: one-off events not advised.</w:t>
      </w:r>
    </w:p>
    <w:p w:rsidR="001B4692" w:rsidRPr="001F4006" w:rsidRDefault="001B4692" w:rsidP="008B31A8">
      <w:pPr>
        <w:pStyle w:val="ListParagraph"/>
        <w:numPr>
          <w:ilvl w:val="0"/>
          <w:numId w:val="5"/>
        </w:numPr>
        <w:rPr>
          <w:i/>
        </w:rPr>
      </w:pPr>
      <w:r>
        <w:t>Faculty Nexus tablets helped to boost response rate</w:t>
      </w:r>
      <w:r w:rsidR="00DF6895">
        <w:t>s</w:t>
      </w:r>
      <w:r>
        <w:t>.</w:t>
      </w:r>
    </w:p>
    <w:p w:rsidR="001F4006" w:rsidRPr="001F4006" w:rsidRDefault="001F4006" w:rsidP="008B31A8">
      <w:pPr>
        <w:pStyle w:val="ListParagraph"/>
        <w:numPr>
          <w:ilvl w:val="0"/>
          <w:numId w:val="5"/>
        </w:numPr>
        <w:rPr>
          <w:i/>
        </w:rPr>
      </w:pPr>
      <w:r>
        <w:t>MPharm issues with new fourth year</w:t>
      </w:r>
      <w:r w:rsidR="00C05FF0">
        <w:t xml:space="preserve"> were</w:t>
      </w:r>
      <w:r>
        <w:t xml:space="preserve"> anticipated (Dec 2017).</w:t>
      </w:r>
    </w:p>
    <w:p w:rsidR="001F4006" w:rsidRPr="008B31A8" w:rsidRDefault="00C05FF0" w:rsidP="008B31A8">
      <w:pPr>
        <w:pStyle w:val="ListParagraph"/>
        <w:numPr>
          <w:ilvl w:val="0"/>
          <w:numId w:val="5"/>
        </w:numPr>
        <w:rPr>
          <w:i/>
        </w:rPr>
      </w:pPr>
      <w:r>
        <w:t xml:space="preserve">NSS </w:t>
      </w:r>
      <w:r w:rsidR="00D17DC9">
        <w:t>Mirror survey via Meetoo used: facilitates expectation management</w:t>
      </w:r>
    </w:p>
    <w:p w:rsidR="00864E65" w:rsidRPr="00864E65" w:rsidRDefault="00864E65" w:rsidP="00864E65">
      <w:pPr>
        <w:ind w:left="360"/>
        <w:rPr>
          <w:b/>
          <w:sz w:val="12"/>
          <w:szCs w:val="12"/>
        </w:rPr>
      </w:pPr>
    </w:p>
    <w:p w:rsidR="00864E65" w:rsidRPr="00864E65" w:rsidRDefault="00864E65" w:rsidP="00864E65">
      <w:pPr>
        <w:rPr>
          <w:b/>
          <w:i/>
        </w:rPr>
      </w:pPr>
      <w:r w:rsidRPr="00864E65">
        <w:rPr>
          <w:b/>
          <w:i/>
        </w:rPr>
        <w:t>Programme cohesion</w:t>
      </w:r>
    </w:p>
    <w:p w:rsidR="00714E97" w:rsidRPr="008B31A8" w:rsidRDefault="00714E97" w:rsidP="00714E97">
      <w:pPr>
        <w:pStyle w:val="ListParagraph"/>
        <w:numPr>
          <w:ilvl w:val="0"/>
          <w:numId w:val="6"/>
        </w:numPr>
        <w:rPr>
          <w:i/>
        </w:rPr>
      </w:pPr>
      <w:r>
        <w:t>Refresher/Get-together lunches</w:t>
      </w:r>
      <w:r w:rsidR="00D17DC9">
        <w:t>/welcome-back parties</w:t>
      </w:r>
      <w:r>
        <w:t xml:space="preserve"> for students, esp. level 6, after </w:t>
      </w:r>
      <w:r w:rsidR="00910082">
        <w:t>Summer/Winter breaks</w:t>
      </w:r>
      <w:r>
        <w:t>.</w:t>
      </w:r>
    </w:p>
    <w:p w:rsidR="00864E65" w:rsidRDefault="001F4006" w:rsidP="00864E65">
      <w:pPr>
        <w:pStyle w:val="ListParagraph"/>
        <w:numPr>
          <w:ilvl w:val="0"/>
          <w:numId w:val="6"/>
        </w:numPr>
      </w:pPr>
      <w:r>
        <w:t>Christmas quiz evening.</w:t>
      </w:r>
    </w:p>
    <w:p w:rsidR="00864E65" w:rsidRPr="00864E65" w:rsidRDefault="00864E65" w:rsidP="00864E65">
      <w:pPr>
        <w:ind w:left="360"/>
        <w:rPr>
          <w:b/>
          <w:sz w:val="12"/>
          <w:szCs w:val="12"/>
        </w:rPr>
      </w:pPr>
    </w:p>
    <w:p w:rsidR="00D17DC9" w:rsidRPr="00864E65" w:rsidRDefault="00D17DC9" w:rsidP="00D17DC9">
      <w:pPr>
        <w:rPr>
          <w:b/>
          <w:i/>
        </w:rPr>
      </w:pPr>
      <w:r>
        <w:rPr>
          <w:b/>
          <w:i/>
        </w:rPr>
        <w:t>Other</w:t>
      </w:r>
    </w:p>
    <w:p w:rsidR="00C05FF0" w:rsidRDefault="00C05FF0" w:rsidP="00C05FF0">
      <w:pPr>
        <w:pStyle w:val="ListParagraph"/>
        <w:numPr>
          <w:ilvl w:val="0"/>
          <w:numId w:val="3"/>
        </w:numPr>
      </w:pPr>
      <w:r>
        <w:t>Noted increased ‘aggression’ from UoL wrt recruitment.</w:t>
      </w:r>
    </w:p>
    <w:p w:rsidR="00D17DC9" w:rsidRDefault="00D17DC9" w:rsidP="00D17DC9">
      <w:pPr>
        <w:pStyle w:val="ListParagraph"/>
        <w:numPr>
          <w:ilvl w:val="0"/>
          <w:numId w:val="3"/>
        </w:numPr>
      </w:pPr>
      <w:r>
        <w:t>Noted teething issues with poor information wrt ‘Study Abroad’</w:t>
      </w:r>
      <w:r w:rsidR="00573E95">
        <w:t xml:space="preserve"> students and poor support from Erasmus office</w:t>
      </w:r>
      <w:r>
        <w:t xml:space="preserve"> </w:t>
      </w:r>
    </w:p>
    <w:p w:rsidR="008A5177" w:rsidRDefault="008A5177" w:rsidP="00D17DC9">
      <w:pPr>
        <w:pStyle w:val="ListParagraph"/>
        <w:numPr>
          <w:ilvl w:val="0"/>
          <w:numId w:val="3"/>
        </w:numPr>
      </w:pPr>
      <w:r>
        <w:t>Progress letters being made available to Personal Tutors was welcomed.</w:t>
      </w:r>
    </w:p>
    <w:p w:rsidR="00D17DC9" w:rsidRPr="00864E65" w:rsidRDefault="00D17DC9" w:rsidP="00864E65">
      <w:pPr>
        <w:ind w:left="360"/>
        <w:rPr>
          <w:b/>
          <w:sz w:val="12"/>
          <w:szCs w:val="12"/>
        </w:rPr>
      </w:pPr>
    </w:p>
    <w:p w:rsidR="00864E65" w:rsidRDefault="00864E65" w:rsidP="00864E65">
      <w:pPr>
        <w:rPr>
          <w:b/>
        </w:rPr>
      </w:pPr>
      <w:r w:rsidRPr="00905F35">
        <w:rPr>
          <w:b/>
        </w:rPr>
        <w:t>Delivery issues/Staff availability</w:t>
      </w:r>
    </w:p>
    <w:p w:rsidR="00864E65" w:rsidRDefault="00864E65" w:rsidP="00864E65">
      <w:pPr>
        <w:pStyle w:val="ListParagraph"/>
        <w:numPr>
          <w:ilvl w:val="0"/>
          <w:numId w:val="7"/>
        </w:numPr>
      </w:pPr>
      <w:r>
        <w:t>Discussed with Directors during meetings and not recorded here.</w:t>
      </w:r>
    </w:p>
    <w:p w:rsidR="00864E65" w:rsidRDefault="00864E65"/>
    <w:p w:rsidR="0070391B" w:rsidRDefault="0070391B" w:rsidP="0070391B">
      <w:pPr>
        <w:pStyle w:val="ListParagraph"/>
        <w:ind w:left="0"/>
        <w:rPr>
          <w:b/>
          <w:color w:val="auto"/>
        </w:rPr>
      </w:pPr>
      <w:r>
        <w:rPr>
          <w:b/>
          <w:color w:val="auto"/>
        </w:rPr>
        <w:t>I</w:t>
      </w:r>
      <w:r w:rsidRPr="009918CF">
        <w:rPr>
          <w:b/>
          <w:color w:val="auto"/>
        </w:rPr>
        <w:t>nternal signage</w:t>
      </w:r>
    </w:p>
    <w:p w:rsidR="0070391B" w:rsidRDefault="0070391B" w:rsidP="0070391B">
      <w:pPr>
        <w:pStyle w:val="ListParagraph"/>
        <w:ind w:left="0"/>
        <w:rPr>
          <w:b/>
        </w:rPr>
      </w:pPr>
    </w:p>
    <w:p w:rsidR="0070391B" w:rsidRDefault="0070391B" w:rsidP="0070391B">
      <w:pPr>
        <w:pStyle w:val="ListParagraph"/>
        <w:ind w:left="0"/>
      </w:pPr>
      <w:r>
        <w:t xml:space="preserve">This was raised as an issue in meetings. </w:t>
      </w:r>
      <w:r w:rsidR="00D73E44">
        <w:t xml:space="preserve">Oriel Studios </w:t>
      </w:r>
      <w:hyperlink r:id="rId7" w:history="1">
        <w:r w:rsidR="00D73E44" w:rsidRPr="001502F9">
          <w:rPr>
            <w:rStyle w:val="Hyperlink"/>
          </w:rPr>
          <w:t>http://www.orielstudios.co.uk/</w:t>
        </w:r>
      </w:hyperlink>
      <w:r w:rsidR="00D73E44">
        <w:t xml:space="preserve"> </w:t>
      </w:r>
      <w:r>
        <w:t xml:space="preserve">have installed wall signs for the Department of Computing </w:t>
      </w:r>
      <w:r w:rsidRPr="009918CF">
        <w:t xml:space="preserve">and </w:t>
      </w:r>
      <w:r>
        <w:t>these</w:t>
      </w:r>
      <w:r w:rsidRPr="009918CF">
        <w:t xml:space="preserve"> cost </w:t>
      </w:r>
      <w:r>
        <w:t>~</w:t>
      </w:r>
      <w:r w:rsidRPr="009918CF">
        <w:t>£</w:t>
      </w:r>
      <w:r>
        <w:t>400</w:t>
      </w:r>
      <w:r w:rsidRPr="009918CF">
        <w:t xml:space="preserve"> two </w:t>
      </w:r>
      <w:r>
        <w:t>signs</w:t>
      </w:r>
      <w:r w:rsidRPr="009918CF">
        <w:t xml:space="preserve">. </w:t>
      </w:r>
      <w:r>
        <w:t>Wall signs are made of</w:t>
      </w:r>
      <w:r w:rsidRPr="009918CF">
        <w:t xml:space="preserve"> stickers </w:t>
      </w:r>
      <w:r>
        <w:t>and an example is shown below</w:t>
      </w:r>
      <w:r w:rsidRPr="009918CF">
        <w:t>.</w:t>
      </w:r>
      <w:r>
        <w:t xml:space="preserve"> Directors should be approached in the first instance.</w:t>
      </w:r>
    </w:p>
    <w:p w:rsidR="0070391B" w:rsidRDefault="0070391B" w:rsidP="0070391B">
      <w:pPr>
        <w:pStyle w:val="ListParagraph"/>
        <w:ind w:left="0"/>
      </w:pPr>
    </w:p>
    <w:p w:rsidR="0070391B" w:rsidRPr="009918CF" w:rsidRDefault="0070391B" w:rsidP="0070391B">
      <w:pPr>
        <w:pStyle w:val="ListParagraph"/>
        <w:ind w:left="0"/>
      </w:pPr>
      <w:r w:rsidRPr="001D5400">
        <w:rPr>
          <w:noProof/>
          <w:lang w:eastAsia="en-GB"/>
        </w:rPr>
        <w:drawing>
          <wp:inline distT="0" distB="0" distL="0" distR="0" wp14:anchorId="6A4F4EC8" wp14:editId="7F8E4869">
            <wp:extent cx="2802939" cy="2102761"/>
            <wp:effectExtent l="0" t="0" r="0" b="0"/>
            <wp:docPr id="1" name="Picture 1" descr="C:\Users\phcpdent\AppData\Local\Microsoft\Windows\INetCache\IE\N3XDG92T\IMG_53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cpdent\AppData\Local\Microsoft\Windows\INetCache\IE\N3XDG92T\IMG_539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431" cy="2105380"/>
                    </a:xfrm>
                    <a:prstGeom prst="rect">
                      <a:avLst/>
                    </a:prstGeom>
                    <a:noFill/>
                    <a:ln>
                      <a:noFill/>
                    </a:ln>
                  </pic:spPr>
                </pic:pic>
              </a:graphicData>
            </a:graphic>
          </wp:inline>
        </w:drawing>
      </w:r>
    </w:p>
    <w:p w:rsidR="00A86DAB" w:rsidRDefault="00A86DAB">
      <w:r>
        <w:br w:type="page"/>
      </w:r>
    </w:p>
    <w:p w:rsidR="00DF6895" w:rsidRDefault="00DF6895" w:rsidP="00D22DD4">
      <w:pPr>
        <w:pStyle w:val="ListParagraph"/>
        <w:snapToGrid w:val="0"/>
        <w:spacing w:before="60" w:after="60"/>
        <w:ind w:left="0"/>
        <w:contextualSpacing w:val="0"/>
        <w:rPr>
          <w:b/>
        </w:rPr>
        <w:sectPr w:rsidR="00DF6895">
          <w:pgSz w:w="11906" w:h="16838"/>
          <w:pgMar w:top="1440" w:right="1440" w:bottom="1440" w:left="1440" w:header="708" w:footer="708" w:gutter="0"/>
          <w:cols w:space="708"/>
          <w:docGrid w:linePitch="360"/>
        </w:sectPr>
      </w:pPr>
    </w:p>
    <w:tbl>
      <w:tblPr>
        <w:tblStyle w:val="TableGrid"/>
        <w:tblW w:w="14340" w:type="dxa"/>
        <w:tblLook w:val="04A0" w:firstRow="1" w:lastRow="0" w:firstColumn="1" w:lastColumn="0" w:noHBand="0" w:noVBand="1"/>
      </w:tblPr>
      <w:tblGrid>
        <w:gridCol w:w="6623"/>
        <w:gridCol w:w="1559"/>
        <w:gridCol w:w="5251"/>
        <w:gridCol w:w="557"/>
        <w:gridCol w:w="350"/>
      </w:tblGrid>
      <w:tr w:rsidR="004A66AF" w:rsidTr="005A0420">
        <w:tc>
          <w:tcPr>
            <w:tcW w:w="6623" w:type="dxa"/>
            <w:tcBorders>
              <w:right w:val="single" w:sz="4" w:space="0" w:color="auto"/>
            </w:tcBorders>
            <w:vAlign w:val="center"/>
          </w:tcPr>
          <w:p w:rsidR="004A66AF" w:rsidRPr="0076478B" w:rsidRDefault="004A66AF" w:rsidP="004A66AF">
            <w:pPr>
              <w:pStyle w:val="ListParagraph"/>
              <w:snapToGrid w:val="0"/>
              <w:spacing w:before="60" w:after="60"/>
              <w:ind w:left="0"/>
              <w:contextualSpacing w:val="0"/>
              <w:rPr>
                <w:color w:val="auto"/>
              </w:rPr>
            </w:pPr>
            <w:r>
              <w:rPr>
                <w:b/>
              </w:rPr>
              <w:lastRenderedPageBreak/>
              <w:t>Suggested areas for development</w:t>
            </w:r>
          </w:p>
        </w:tc>
        <w:tc>
          <w:tcPr>
            <w:tcW w:w="1559" w:type="dxa"/>
            <w:tcBorders>
              <w:top w:val="single" w:sz="4" w:space="0" w:color="auto"/>
              <w:left w:val="single" w:sz="4" w:space="0" w:color="auto"/>
              <w:bottom w:val="single" w:sz="4" w:space="0" w:color="auto"/>
              <w:right w:val="single" w:sz="4" w:space="0" w:color="auto"/>
            </w:tcBorders>
            <w:vAlign w:val="center"/>
          </w:tcPr>
          <w:p w:rsidR="004A66AF"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rPr>
                <w:b/>
              </w:rPr>
            </w:pPr>
            <w:r>
              <w:rPr>
                <w:b/>
              </w:rPr>
              <w:t>Action*</w:t>
            </w:r>
          </w:p>
        </w:tc>
        <w:tc>
          <w:tcPr>
            <w:tcW w:w="5251" w:type="dxa"/>
            <w:tcBorders>
              <w:top w:val="single" w:sz="4" w:space="0" w:color="auto"/>
              <w:left w:val="single" w:sz="4" w:space="0" w:color="auto"/>
              <w:bottom w:val="single" w:sz="4" w:space="0" w:color="auto"/>
              <w:right w:val="single" w:sz="4" w:space="0" w:color="auto"/>
            </w:tcBorders>
            <w:vAlign w:val="center"/>
          </w:tcPr>
          <w:p w:rsidR="004A66AF"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rPr>
                <w:b/>
              </w:rPr>
            </w:pPr>
            <w:r>
              <w:rPr>
                <w:b/>
              </w:rPr>
              <w:t>Progress</w:t>
            </w:r>
          </w:p>
        </w:tc>
        <w:tc>
          <w:tcPr>
            <w:tcW w:w="907" w:type="dxa"/>
            <w:gridSpan w:val="2"/>
            <w:tcBorders>
              <w:top w:val="single" w:sz="4" w:space="0" w:color="auto"/>
              <w:left w:val="single" w:sz="4" w:space="0" w:color="auto"/>
              <w:bottom w:val="single" w:sz="4" w:space="0" w:color="auto"/>
              <w:right w:val="single" w:sz="4" w:space="0" w:color="auto"/>
            </w:tcBorders>
            <w:vAlign w:val="center"/>
          </w:tcPr>
          <w:p w:rsidR="004A66AF" w:rsidRDefault="005A0420" w:rsidP="005A0420">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rPr>
                <w:b/>
              </w:rPr>
            </w:pPr>
            <w:r>
              <w:rPr>
                <w:b/>
              </w:rPr>
              <w:t>Done?</w:t>
            </w:r>
          </w:p>
        </w:tc>
      </w:tr>
      <w:tr w:rsidR="004A66AF" w:rsidRPr="004A66AF" w:rsidTr="005A0420">
        <w:tc>
          <w:tcPr>
            <w:tcW w:w="6623" w:type="dxa"/>
          </w:tcPr>
          <w:p w:rsidR="004A66AF" w:rsidRPr="0076478B" w:rsidRDefault="004A66AF" w:rsidP="004A66AF">
            <w:pPr>
              <w:spacing w:before="60" w:after="60"/>
              <w:rPr>
                <w:color w:val="auto"/>
              </w:rPr>
            </w:pPr>
            <w:r>
              <w:rPr>
                <w:color w:val="auto"/>
              </w:rPr>
              <w:t>Review PDT schedule and confirm memberships. Meetings after Sem 1 and Sem 2 exam results proposed. SMT-PDT links made clearer. External examiner reports to be added as agenda item.</w:t>
            </w:r>
          </w:p>
        </w:tc>
        <w:tc>
          <w:tcPr>
            <w:tcW w:w="1559" w:type="dxa"/>
            <w:tcBorders>
              <w:top w:val="single" w:sz="4" w:space="0" w:color="auto"/>
            </w:tcBorders>
          </w:tcPr>
          <w:p w:rsidR="004A66AF" w:rsidRPr="00714E97"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pPr>
            <w:r w:rsidRPr="00714E97">
              <w:t>ADE/HoFO to discuss</w:t>
            </w:r>
          </w:p>
        </w:tc>
        <w:tc>
          <w:tcPr>
            <w:tcW w:w="5808" w:type="dxa"/>
            <w:gridSpan w:val="2"/>
            <w:tcBorders>
              <w:top w:val="single" w:sz="4" w:space="0" w:color="auto"/>
            </w:tcBorders>
          </w:tcPr>
          <w:p w:rsidR="004A66AF" w:rsidRPr="00714E97" w:rsidRDefault="005A0420" w:rsidP="00D24E23">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pPr>
            <w:hyperlink r:id="rId9" w:history="1">
              <w:r w:rsidR="004A66AF" w:rsidRPr="00D24E23">
                <w:rPr>
                  <w:rStyle w:val="Hyperlink"/>
                </w:rPr>
                <w:t>Revised schedule</w:t>
              </w:r>
            </w:hyperlink>
            <w:r w:rsidR="004A66AF">
              <w:t xml:space="preserve"> developed based on feedback</w:t>
            </w:r>
            <w:r w:rsidR="004A66AF" w:rsidRPr="00D24E23">
              <w:rPr>
                <w:color w:val="auto"/>
              </w:rPr>
              <w:t xml:space="preserve">. Agreed at June 2019 </w:t>
            </w:r>
            <w:r w:rsidR="00D24E23">
              <w:rPr>
                <w:color w:val="auto"/>
              </w:rPr>
              <w:t xml:space="preserve">UG Programme Leader </w:t>
            </w:r>
            <w:r w:rsidR="004A66AF" w:rsidRPr="00D24E23">
              <w:rPr>
                <w:color w:val="auto"/>
              </w:rPr>
              <w:t>away</w:t>
            </w:r>
            <w:r w:rsidR="00D24E23">
              <w:rPr>
                <w:color w:val="auto"/>
              </w:rPr>
              <w:t xml:space="preserve"> </w:t>
            </w:r>
            <w:r w:rsidR="004A66AF" w:rsidRPr="00D24E23">
              <w:rPr>
                <w:color w:val="auto"/>
              </w:rPr>
              <w:t>day</w:t>
            </w:r>
          </w:p>
        </w:tc>
        <w:tc>
          <w:tcPr>
            <w:tcW w:w="350" w:type="dxa"/>
            <w:tcBorders>
              <w:top w:val="single" w:sz="4" w:space="0" w:color="auto"/>
            </w:tcBorders>
          </w:tcPr>
          <w:p w:rsidR="004A66AF" w:rsidRPr="00D24E23" w:rsidRDefault="00D24E23"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jc w:val="center"/>
              <w:rPr>
                <w:color w:val="auto"/>
              </w:rPr>
            </w:pPr>
            <w:r>
              <w:rPr>
                <w:color w:val="auto"/>
              </w:rPr>
              <w:t>Y</w:t>
            </w:r>
          </w:p>
        </w:tc>
      </w:tr>
      <w:tr w:rsidR="004A66AF" w:rsidTr="005A0420">
        <w:tc>
          <w:tcPr>
            <w:tcW w:w="6623" w:type="dxa"/>
          </w:tcPr>
          <w:p w:rsidR="004A66AF" w:rsidRPr="0076478B" w:rsidRDefault="004A66AF" w:rsidP="004A66AF">
            <w:pPr>
              <w:spacing w:before="60" w:after="60"/>
              <w:rPr>
                <w:color w:val="auto"/>
              </w:rPr>
            </w:pPr>
            <w:r>
              <w:rPr>
                <w:color w:val="auto"/>
              </w:rPr>
              <w:t>Share examples of open days, applicant days, and insight activities and identify distinctions. Guidance for student helpers on recruitment events.</w:t>
            </w:r>
          </w:p>
        </w:tc>
        <w:tc>
          <w:tcPr>
            <w:tcW w:w="1559" w:type="dxa"/>
          </w:tcPr>
          <w:p w:rsidR="004A66AF" w:rsidRPr="001B4692"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pPr>
            <w:r w:rsidRPr="001B4692">
              <w:t>ADE</w:t>
            </w:r>
            <w:r>
              <w:t xml:space="preserve"> and TS/NP</w:t>
            </w:r>
          </w:p>
        </w:tc>
        <w:tc>
          <w:tcPr>
            <w:tcW w:w="5808" w:type="dxa"/>
            <w:gridSpan w:val="2"/>
          </w:tcPr>
          <w:p w:rsidR="004A66AF" w:rsidRPr="00762011"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tabs>
                <w:tab w:val="left" w:pos="1120"/>
              </w:tabs>
              <w:snapToGrid w:val="0"/>
              <w:spacing w:before="60" w:after="60"/>
              <w:ind w:left="0"/>
              <w:contextualSpacing w:val="0"/>
            </w:pPr>
            <w:r>
              <w:t xml:space="preserve">Content to be developed for December 2018 and placed on </w:t>
            </w:r>
            <w:hyperlink r:id="rId10" w:history="1">
              <w:r w:rsidRPr="00A213DB">
                <w:rPr>
                  <w:rStyle w:val="Hyperlink"/>
                </w:rPr>
                <w:t>UG PL Resource area</w:t>
              </w:r>
            </w:hyperlink>
          </w:p>
        </w:tc>
        <w:tc>
          <w:tcPr>
            <w:tcW w:w="350" w:type="dxa"/>
          </w:tcPr>
          <w:p w:rsidR="004A66AF" w:rsidRPr="00762011" w:rsidRDefault="00D24E23" w:rsidP="004A66AF">
            <w:pPr>
              <w:pStyle w:val="ListParagraph"/>
              <w:pBdr>
                <w:top w:val="none" w:sz="0" w:space="0" w:color="auto"/>
                <w:left w:val="none" w:sz="0" w:space="0" w:color="auto"/>
                <w:bottom w:val="none" w:sz="0" w:space="0" w:color="auto"/>
                <w:right w:val="none" w:sz="0" w:space="0" w:color="auto"/>
                <w:between w:val="none" w:sz="0" w:space="0" w:color="auto"/>
              </w:pBdr>
              <w:tabs>
                <w:tab w:val="left" w:pos="1120"/>
              </w:tabs>
              <w:snapToGrid w:val="0"/>
              <w:spacing w:before="60" w:after="60"/>
              <w:ind w:left="0"/>
              <w:contextualSpacing w:val="0"/>
              <w:jc w:val="center"/>
            </w:pPr>
            <w:r>
              <w:t>Y</w:t>
            </w:r>
          </w:p>
        </w:tc>
      </w:tr>
      <w:tr w:rsidR="004A66AF" w:rsidTr="005A0420">
        <w:tc>
          <w:tcPr>
            <w:tcW w:w="6623" w:type="dxa"/>
          </w:tcPr>
          <w:p w:rsidR="004A66AF" w:rsidRPr="0076478B" w:rsidRDefault="004A66AF" w:rsidP="004A66AF">
            <w:pPr>
              <w:spacing w:before="60" w:after="60"/>
              <w:rPr>
                <w:color w:val="auto"/>
              </w:rPr>
            </w:pPr>
            <w:r>
              <w:rPr>
                <w:color w:val="auto"/>
              </w:rPr>
              <w:t>Programme Leader training to be scheduled outside of teaching weeks</w:t>
            </w:r>
          </w:p>
        </w:tc>
        <w:tc>
          <w:tcPr>
            <w:tcW w:w="1559" w:type="dxa"/>
          </w:tcPr>
          <w:p w:rsidR="004A66AF" w:rsidRPr="00910082"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pPr>
            <w:r>
              <w:t>TLA via ADE</w:t>
            </w:r>
          </w:p>
        </w:tc>
        <w:tc>
          <w:tcPr>
            <w:tcW w:w="5808" w:type="dxa"/>
            <w:gridSpan w:val="2"/>
          </w:tcPr>
          <w:p w:rsidR="004A66AF" w:rsidRPr="00883DD2"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pPr>
            <w:r>
              <w:t xml:space="preserve">Advanced to TLA and was discussed at a planning meeting. </w:t>
            </w:r>
          </w:p>
        </w:tc>
        <w:tc>
          <w:tcPr>
            <w:tcW w:w="350" w:type="dxa"/>
          </w:tcPr>
          <w:p w:rsidR="004A66AF" w:rsidRPr="00883DD2" w:rsidRDefault="00D24E23"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jc w:val="center"/>
            </w:pPr>
            <w:r>
              <w:t>Y</w:t>
            </w:r>
          </w:p>
        </w:tc>
      </w:tr>
      <w:tr w:rsidR="004A66AF" w:rsidTr="005A0420">
        <w:tc>
          <w:tcPr>
            <w:tcW w:w="6623" w:type="dxa"/>
          </w:tcPr>
          <w:p w:rsidR="004A66AF" w:rsidRPr="0076478B" w:rsidRDefault="004A66AF" w:rsidP="004A66AF">
            <w:pPr>
              <w:spacing w:before="60" w:after="60"/>
              <w:rPr>
                <w:color w:val="auto"/>
              </w:rPr>
            </w:pPr>
            <w:r>
              <w:rPr>
                <w:color w:val="auto"/>
              </w:rPr>
              <w:t>Provision of Panopto-compatible mobile microphones</w:t>
            </w:r>
          </w:p>
        </w:tc>
        <w:tc>
          <w:tcPr>
            <w:tcW w:w="1559" w:type="dxa"/>
          </w:tcPr>
          <w:p w:rsidR="004A66AF" w:rsidRPr="00864E65"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pPr>
            <w:r>
              <w:t>TLA via ADE</w:t>
            </w:r>
          </w:p>
        </w:tc>
        <w:tc>
          <w:tcPr>
            <w:tcW w:w="5808" w:type="dxa"/>
            <w:gridSpan w:val="2"/>
          </w:tcPr>
          <w:p w:rsidR="004A66AF" w:rsidRPr="00864E65"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pPr>
            <w:r>
              <w:t xml:space="preserve">Now available in some rooms: CBLT, UPJLT, Marybone and Byrom St Lectures Theatres BS/301-305. </w:t>
            </w:r>
          </w:p>
        </w:tc>
        <w:tc>
          <w:tcPr>
            <w:tcW w:w="350" w:type="dxa"/>
          </w:tcPr>
          <w:p w:rsidR="004A66AF" w:rsidRPr="00864E65" w:rsidRDefault="00D24E23"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jc w:val="center"/>
            </w:pPr>
            <w:r>
              <w:t>Y</w:t>
            </w:r>
          </w:p>
        </w:tc>
      </w:tr>
      <w:tr w:rsidR="004A66AF" w:rsidTr="005A0420">
        <w:tc>
          <w:tcPr>
            <w:tcW w:w="6623" w:type="dxa"/>
          </w:tcPr>
          <w:p w:rsidR="004A66AF" w:rsidRPr="0076478B" w:rsidRDefault="004A66AF" w:rsidP="004A66AF">
            <w:pPr>
              <w:spacing w:before="60" w:after="60"/>
              <w:rPr>
                <w:color w:val="auto"/>
              </w:rPr>
            </w:pPr>
            <w:r>
              <w:rPr>
                <w:color w:val="auto"/>
              </w:rPr>
              <w:t>Video recording policy: needs to identify each stakeholder and their responsibilities and limitations.</w:t>
            </w:r>
          </w:p>
        </w:tc>
        <w:tc>
          <w:tcPr>
            <w:tcW w:w="1559" w:type="dxa"/>
          </w:tcPr>
          <w:p w:rsidR="004A66AF"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rPr>
                <w:b/>
              </w:rPr>
            </w:pPr>
            <w:r>
              <w:t>TLA via ADE</w:t>
            </w:r>
          </w:p>
        </w:tc>
        <w:tc>
          <w:tcPr>
            <w:tcW w:w="5808" w:type="dxa"/>
            <w:gridSpan w:val="2"/>
          </w:tcPr>
          <w:p w:rsidR="004A66AF" w:rsidRPr="00724B70"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pPr>
            <w:r>
              <w:t xml:space="preserve">LJMU </w:t>
            </w:r>
            <w:r w:rsidRPr="00724B70">
              <w:t>Educational Video and Audio Recording Policy</w:t>
            </w:r>
            <w:r>
              <w:t xml:space="preserve"> reviewed May 2019 and affirmed that it applies to staff recordings only. Student recordings and associated issues fall within code of conduct.</w:t>
            </w:r>
          </w:p>
        </w:tc>
        <w:tc>
          <w:tcPr>
            <w:tcW w:w="350" w:type="dxa"/>
          </w:tcPr>
          <w:p w:rsidR="004A66AF" w:rsidRPr="00724B70" w:rsidRDefault="00D24E23"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jc w:val="center"/>
            </w:pPr>
            <w:r>
              <w:t>Y</w:t>
            </w:r>
          </w:p>
        </w:tc>
      </w:tr>
      <w:tr w:rsidR="004A66AF" w:rsidTr="005A0420">
        <w:tc>
          <w:tcPr>
            <w:tcW w:w="6623" w:type="dxa"/>
          </w:tcPr>
          <w:p w:rsidR="004A66AF" w:rsidRPr="0076478B" w:rsidRDefault="004A66AF" w:rsidP="004A66AF">
            <w:pPr>
              <w:spacing w:before="60" w:after="60"/>
              <w:rPr>
                <w:color w:val="auto"/>
              </w:rPr>
            </w:pPr>
            <w:r>
              <w:rPr>
                <w:color w:val="auto"/>
              </w:rPr>
              <w:t>Guidance requested over consistency in Canvas module organisation.</w:t>
            </w:r>
          </w:p>
        </w:tc>
        <w:tc>
          <w:tcPr>
            <w:tcW w:w="1559" w:type="dxa"/>
          </w:tcPr>
          <w:p w:rsidR="004A66AF"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rPr>
                <w:b/>
              </w:rPr>
            </w:pPr>
            <w:r>
              <w:t>TLA via ADE</w:t>
            </w:r>
          </w:p>
        </w:tc>
        <w:tc>
          <w:tcPr>
            <w:tcW w:w="5808" w:type="dxa"/>
            <w:gridSpan w:val="2"/>
          </w:tcPr>
          <w:p w:rsidR="004A66AF" w:rsidRPr="00724B70"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pPr>
            <w:r w:rsidRPr="009918CF">
              <w:rPr>
                <w:color w:val="auto"/>
              </w:rPr>
              <w:t>Nick Adamson (TLA)</w:t>
            </w:r>
            <w:r>
              <w:rPr>
                <w:color w:val="auto"/>
              </w:rPr>
              <w:t xml:space="preserve"> is running a pro</w:t>
            </w:r>
            <w:bookmarkStart w:id="0" w:name="_GoBack"/>
            <w:bookmarkEnd w:id="0"/>
            <w:r>
              <w:rPr>
                <w:color w:val="auto"/>
              </w:rPr>
              <w:t>ject on this and welcomes contact from PLs</w:t>
            </w:r>
            <w:r w:rsidRPr="009918CF">
              <w:rPr>
                <w:color w:val="auto"/>
              </w:rPr>
              <w:t xml:space="preserve"> </w:t>
            </w:r>
            <w:hyperlink r:id="rId11" w:history="1">
              <w:r w:rsidRPr="00B332C0">
                <w:rPr>
                  <w:rStyle w:val="Hyperlink"/>
                </w:rPr>
                <w:t>N.Adamson@ljmu.ac.uk</w:t>
              </w:r>
            </w:hyperlink>
            <w:r>
              <w:rPr>
                <w:color w:val="FF0000"/>
              </w:rPr>
              <w:t xml:space="preserve"> </w:t>
            </w:r>
          </w:p>
        </w:tc>
        <w:tc>
          <w:tcPr>
            <w:tcW w:w="350" w:type="dxa"/>
          </w:tcPr>
          <w:p w:rsidR="004A66AF" w:rsidRPr="00724B70" w:rsidRDefault="00D24E23"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jc w:val="center"/>
            </w:pPr>
            <w:r>
              <w:t>Y</w:t>
            </w:r>
          </w:p>
        </w:tc>
      </w:tr>
      <w:tr w:rsidR="004A66AF" w:rsidTr="005A0420">
        <w:tc>
          <w:tcPr>
            <w:tcW w:w="6623" w:type="dxa"/>
          </w:tcPr>
          <w:p w:rsidR="004A66AF" w:rsidRPr="0076478B" w:rsidRDefault="004A66AF" w:rsidP="004A66AF">
            <w:pPr>
              <w:spacing w:before="60" w:after="60"/>
              <w:rPr>
                <w:color w:val="auto"/>
              </w:rPr>
            </w:pPr>
            <w:r>
              <w:rPr>
                <w:color w:val="auto"/>
              </w:rPr>
              <w:t>Seedcorn funding for LTA technologies e.g. infographics software</w:t>
            </w:r>
          </w:p>
        </w:tc>
        <w:tc>
          <w:tcPr>
            <w:tcW w:w="1559" w:type="dxa"/>
          </w:tcPr>
          <w:p w:rsidR="004A66AF" w:rsidRPr="00B71ED6"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pPr>
            <w:r>
              <w:t>TLA via ADE</w:t>
            </w:r>
          </w:p>
        </w:tc>
        <w:tc>
          <w:tcPr>
            <w:tcW w:w="5808" w:type="dxa"/>
            <w:gridSpan w:val="2"/>
          </w:tcPr>
          <w:p w:rsidR="004A66AF" w:rsidRPr="00B71ED6"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pPr>
            <w:r>
              <w:t>The Faculty now has a limited budget (£5K pa) to support activities like this.</w:t>
            </w:r>
          </w:p>
        </w:tc>
        <w:tc>
          <w:tcPr>
            <w:tcW w:w="350" w:type="dxa"/>
          </w:tcPr>
          <w:p w:rsidR="004A66AF" w:rsidRPr="00B71ED6" w:rsidRDefault="00D24E23"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jc w:val="center"/>
            </w:pPr>
            <w:r>
              <w:t>Y</w:t>
            </w:r>
          </w:p>
        </w:tc>
      </w:tr>
      <w:tr w:rsidR="004A66AF" w:rsidTr="005A0420">
        <w:tc>
          <w:tcPr>
            <w:tcW w:w="6623" w:type="dxa"/>
          </w:tcPr>
          <w:p w:rsidR="004A66AF" w:rsidRPr="0076478B" w:rsidRDefault="004A66AF" w:rsidP="004A66AF">
            <w:pPr>
              <w:spacing w:before="60" w:after="60"/>
              <w:rPr>
                <w:color w:val="auto"/>
              </w:rPr>
            </w:pPr>
            <w:r>
              <w:rPr>
                <w:color w:val="auto"/>
              </w:rPr>
              <w:t>New staff to have enhanced opportunities for teaching observation.</w:t>
            </w:r>
          </w:p>
        </w:tc>
        <w:tc>
          <w:tcPr>
            <w:tcW w:w="1559" w:type="dxa"/>
          </w:tcPr>
          <w:p w:rsidR="004A66AF" w:rsidRPr="00B71ED6"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pPr>
            <w:r>
              <w:t>ADE</w:t>
            </w:r>
          </w:p>
        </w:tc>
        <w:tc>
          <w:tcPr>
            <w:tcW w:w="5808" w:type="dxa"/>
            <w:gridSpan w:val="2"/>
          </w:tcPr>
          <w:p w:rsidR="004A66AF" w:rsidRPr="00B71ED6" w:rsidRDefault="005A0420"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pPr>
            <w:hyperlink r:id="rId12" w:history="1">
              <w:r w:rsidR="004A66AF" w:rsidRPr="009918CF">
                <w:rPr>
                  <w:rStyle w:val="Hyperlink"/>
                </w:rPr>
                <w:t>Walkabout Week</w:t>
              </w:r>
            </w:hyperlink>
            <w:r w:rsidR="004A66AF">
              <w:t xml:space="preserve"> introduced.</w:t>
            </w:r>
          </w:p>
        </w:tc>
        <w:tc>
          <w:tcPr>
            <w:tcW w:w="350" w:type="dxa"/>
          </w:tcPr>
          <w:p w:rsidR="004A66AF" w:rsidRPr="00B71ED6" w:rsidRDefault="00D24E23"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jc w:val="center"/>
            </w:pPr>
            <w:r>
              <w:t>Y</w:t>
            </w:r>
          </w:p>
        </w:tc>
      </w:tr>
      <w:tr w:rsidR="004A66AF" w:rsidTr="005A0420">
        <w:tc>
          <w:tcPr>
            <w:tcW w:w="6623" w:type="dxa"/>
          </w:tcPr>
          <w:p w:rsidR="004A66AF" w:rsidRPr="0076478B" w:rsidRDefault="004A66AF" w:rsidP="004A66AF">
            <w:pPr>
              <w:spacing w:before="60" w:after="60"/>
              <w:rPr>
                <w:color w:val="auto"/>
              </w:rPr>
            </w:pPr>
            <w:r>
              <w:rPr>
                <w:color w:val="auto"/>
              </w:rPr>
              <w:t>Crime Scene House timetabling/access.</w:t>
            </w:r>
          </w:p>
        </w:tc>
        <w:tc>
          <w:tcPr>
            <w:tcW w:w="1559" w:type="dxa"/>
          </w:tcPr>
          <w:p w:rsidR="004A66AF" w:rsidRPr="00B71ED6"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pPr>
            <w:r>
              <w:t>ADE</w:t>
            </w:r>
          </w:p>
        </w:tc>
        <w:tc>
          <w:tcPr>
            <w:tcW w:w="5808" w:type="dxa"/>
            <w:gridSpan w:val="2"/>
          </w:tcPr>
          <w:p w:rsidR="004A66AF" w:rsidRPr="00B71ED6"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pPr>
            <w:r>
              <w:t>Not an issue at present</w:t>
            </w:r>
            <w:r w:rsidR="00D24E23">
              <w:t xml:space="preserve"> (Spring 2019)</w:t>
            </w:r>
            <w:r>
              <w:t>, but is being monitored.</w:t>
            </w:r>
          </w:p>
        </w:tc>
        <w:tc>
          <w:tcPr>
            <w:tcW w:w="350" w:type="dxa"/>
          </w:tcPr>
          <w:p w:rsidR="004A66AF" w:rsidRPr="00B71ED6" w:rsidRDefault="00D24E23"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jc w:val="center"/>
            </w:pPr>
            <w:r>
              <w:t>Y</w:t>
            </w:r>
          </w:p>
        </w:tc>
      </w:tr>
      <w:tr w:rsidR="004A66AF" w:rsidTr="005A0420">
        <w:tc>
          <w:tcPr>
            <w:tcW w:w="6623" w:type="dxa"/>
          </w:tcPr>
          <w:p w:rsidR="004A66AF" w:rsidRPr="0076478B" w:rsidRDefault="004A66AF" w:rsidP="004A66AF">
            <w:pPr>
              <w:spacing w:before="60" w:after="60"/>
              <w:rPr>
                <w:color w:val="auto"/>
              </w:rPr>
            </w:pPr>
            <w:r>
              <w:rPr>
                <w:color w:val="auto"/>
              </w:rPr>
              <w:t>Enhanced internal signage for programmes requested.</w:t>
            </w:r>
          </w:p>
        </w:tc>
        <w:tc>
          <w:tcPr>
            <w:tcW w:w="1559" w:type="dxa"/>
          </w:tcPr>
          <w:p w:rsidR="004A66AF" w:rsidRPr="00B71ED6"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pPr>
            <w:r>
              <w:t>ADE</w:t>
            </w:r>
          </w:p>
        </w:tc>
        <w:tc>
          <w:tcPr>
            <w:tcW w:w="5808" w:type="dxa"/>
            <w:gridSpan w:val="2"/>
          </w:tcPr>
          <w:p w:rsidR="004A66AF" w:rsidRPr="00B71ED6"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pPr>
            <w:r>
              <w:t>See notes above.</w:t>
            </w:r>
          </w:p>
        </w:tc>
        <w:tc>
          <w:tcPr>
            <w:tcW w:w="350" w:type="dxa"/>
          </w:tcPr>
          <w:p w:rsidR="004A66AF" w:rsidRPr="00B71ED6" w:rsidRDefault="00D24E23" w:rsidP="00D24E23">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jc w:val="center"/>
            </w:pPr>
            <w:r>
              <w:t>Y</w:t>
            </w:r>
          </w:p>
        </w:tc>
      </w:tr>
      <w:tr w:rsidR="004A66AF" w:rsidTr="005A0420">
        <w:tc>
          <w:tcPr>
            <w:tcW w:w="6623" w:type="dxa"/>
          </w:tcPr>
          <w:p w:rsidR="004A66AF" w:rsidRPr="0076478B" w:rsidRDefault="004A66AF" w:rsidP="004A66AF">
            <w:pPr>
              <w:spacing w:before="60" w:after="60"/>
              <w:rPr>
                <w:color w:val="auto"/>
              </w:rPr>
            </w:pPr>
            <w:r>
              <w:rPr>
                <w:color w:val="auto"/>
              </w:rPr>
              <w:t>Collect examples of generic induction activities for sharing.</w:t>
            </w:r>
          </w:p>
        </w:tc>
        <w:tc>
          <w:tcPr>
            <w:tcW w:w="1559" w:type="dxa"/>
          </w:tcPr>
          <w:p w:rsidR="004A66AF" w:rsidRPr="00B71ED6"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pPr>
            <w:r>
              <w:t>ADE</w:t>
            </w:r>
          </w:p>
        </w:tc>
        <w:tc>
          <w:tcPr>
            <w:tcW w:w="5808" w:type="dxa"/>
            <w:gridSpan w:val="2"/>
          </w:tcPr>
          <w:p w:rsidR="004A66AF" w:rsidRPr="00B71ED6"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pPr>
            <w:r>
              <w:t xml:space="preserve">Space reserved on </w:t>
            </w:r>
            <w:hyperlink r:id="rId13" w:history="1">
              <w:r w:rsidRPr="00A213DB">
                <w:rPr>
                  <w:rStyle w:val="Hyperlink"/>
                </w:rPr>
                <w:t>UG PL Resource area</w:t>
              </w:r>
            </w:hyperlink>
            <w:r>
              <w:t xml:space="preserve"> to be populated as material is submitted</w:t>
            </w:r>
          </w:p>
        </w:tc>
        <w:tc>
          <w:tcPr>
            <w:tcW w:w="350" w:type="dxa"/>
          </w:tcPr>
          <w:p w:rsidR="004A66AF" w:rsidRPr="00B71ED6" w:rsidRDefault="00D24E23"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jc w:val="center"/>
            </w:pPr>
            <w:r>
              <w:t>Y</w:t>
            </w:r>
          </w:p>
        </w:tc>
      </w:tr>
      <w:tr w:rsidR="004A66AF" w:rsidTr="005A0420">
        <w:tc>
          <w:tcPr>
            <w:tcW w:w="6623" w:type="dxa"/>
          </w:tcPr>
          <w:p w:rsidR="004A66AF" w:rsidRPr="00573E95" w:rsidRDefault="004A66AF" w:rsidP="004A66AF">
            <w:pPr>
              <w:spacing w:before="60" w:after="60"/>
              <w:rPr>
                <w:color w:val="auto"/>
              </w:rPr>
            </w:pPr>
            <w:r>
              <w:rPr>
                <w:color w:val="auto"/>
              </w:rPr>
              <w:t>AA Yellow road signs for open days (</w:t>
            </w:r>
            <w:r w:rsidRPr="00573E95">
              <w:rPr>
                <w:color w:val="auto"/>
              </w:rPr>
              <w:t xml:space="preserve">UoL </w:t>
            </w:r>
            <w:r>
              <w:rPr>
                <w:color w:val="auto"/>
              </w:rPr>
              <w:t>had</w:t>
            </w:r>
            <w:r w:rsidRPr="00573E95">
              <w:rPr>
                <w:color w:val="auto"/>
              </w:rPr>
              <w:t xml:space="preserve"> these</w:t>
            </w:r>
            <w:r>
              <w:rPr>
                <w:color w:val="auto"/>
              </w:rPr>
              <w:t>, we did not)</w:t>
            </w:r>
          </w:p>
        </w:tc>
        <w:tc>
          <w:tcPr>
            <w:tcW w:w="1559" w:type="dxa"/>
          </w:tcPr>
          <w:p w:rsidR="004A66AF" w:rsidRPr="00573E95"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pPr>
            <w:r w:rsidRPr="00D17DC9">
              <w:t>Marketing via ADE</w:t>
            </w:r>
          </w:p>
        </w:tc>
        <w:tc>
          <w:tcPr>
            <w:tcW w:w="5808" w:type="dxa"/>
            <w:gridSpan w:val="2"/>
          </w:tcPr>
          <w:p w:rsidR="004A66AF" w:rsidRPr="0070391B"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pPr>
            <w:r>
              <w:t>Raised at recruitment policy panel 8</w:t>
            </w:r>
            <w:r w:rsidRPr="0070391B">
              <w:rPr>
                <w:vertAlign w:val="superscript"/>
              </w:rPr>
              <w:t>th</w:t>
            </w:r>
            <w:r>
              <w:t xml:space="preserve"> October 2018 and assured this would not happen again. </w:t>
            </w:r>
          </w:p>
        </w:tc>
        <w:tc>
          <w:tcPr>
            <w:tcW w:w="350" w:type="dxa"/>
          </w:tcPr>
          <w:p w:rsidR="004A66AF" w:rsidRPr="0070391B" w:rsidRDefault="00D24E23"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jc w:val="center"/>
            </w:pPr>
            <w:r>
              <w:t>Y</w:t>
            </w:r>
          </w:p>
        </w:tc>
      </w:tr>
      <w:tr w:rsidR="004A66AF" w:rsidTr="005A0420">
        <w:tc>
          <w:tcPr>
            <w:tcW w:w="6623" w:type="dxa"/>
          </w:tcPr>
          <w:p w:rsidR="004A66AF" w:rsidRPr="0076478B" w:rsidRDefault="004A66AF" w:rsidP="004A66AF">
            <w:pPr>
              <w:spacing w:before="60" w:after="60"/>
              <w:rPr>
                <w:color w:val="auto"/>
              </w:rPr>
            </w:pPr>
            <w:r>
              <w:rPr>
                <w:color w:val="auto"/>
              </w:rPr>
              <w:t>Within existing academic framework: Explore possibility of compulsory attendance for some assessed events e.g. field work, and arrangements for alternative assessments/extensions in these cases. A problem arises as alternative assessments/extensions would have to include the same activity.</w:t>
            </w:r>
          </w:p>
        </w:tc>
        <w:tc>
          <w:tcPr>
            <w:tcW w:w="1559" w:type="dxa"/>
          </w:tcPr>
          <w:p w:rsidR="004A66AF" w:rsidRPr="001B4692"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0"/>
            </w:pPr>
            <w:r>
              <w:t>Registry via ADE</w:t>
            </w:r>
          </w:p>
        </w:tc>
        <w:tc>
          <w:tcPr>
            <w:tcW w:w="5808" w:type="dxa"/>
            <w:gridSpan w:val="2"/>
          </w:tcPr>
          <w:p w:rsidR="004A66AF" w:rsidRPr="00B71ED6" w:rsidRDefault="004A66AF"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pPr>
            <w:r>
              <w:t>Explored informally with LJMU Academic Registrar but no workaround within the existing framework was possible. Raised formally with University, through Education Committee but no appetite for amendments to framework given our diverse student body.</w:t>
            </w:r>
          </w:p>
        </w:tc>
        <w:tc>
          <w:tcPr>
            <w:tcW w:w="350" w:type="dxa"/>
          </w:tcPr>
          <w:p w:rsidR="004A66AF" w:rsidRPr="00B71ED6" w:rsidRDefault="00D24E23" w:rsidP="004A66AF">
            <w:pPr>
              <w:pStyle w:val="ListParagraph"/>
              <w:pBdr>
                <w:top w:val="none" w:sz="0" w:space="0" w:color="auto"/>
                <w:left w:val="none" w:sz="0" w:space="0" w:color="auto"/>
                <w:bottom w:val="none" w:sz="0" w:space="0" w:color="auto"/>
                <w:right w:val="none" w:sz="0" w:space="0" w:color="auto"/>
                <w:between w:val="none" w:sz="0" w:space="0" w:color="auto"/>
              </w:pBdr>
              <w:snapToGrid w:val="0"/>
              <w:spacing w:before="60" w:after="60"/>
              <w:ind w:left="0"/>
              <w:contextualSpacing w:val="0"/>
              <w:jc w:val="center"/>
            </w:pPr>
            <w:r>
              <w:t>Y</w:t>
            </w:r>
          </w:p>
        </w:tc>
      </w:tr>
    </w:tbl>
    <w:p w:rsidR="00864E65" w:rsidRPr="00864E65" w:rsidRDefault="00864E65" w:rsidP="0070391B">
      <w:pPr>
        <w:pStyle w:val="ListParagraph"/>
        <w:spacing w:before="120"/>
        <w:ind w:left="0"/>
        <w:jc w:val="right"/>
      </w:pPr>
      <w:r w:rsidRPr="00864E65">
        <w:t>Phil Denton</w:t>
      </w:r>
      <w:r w:rsidR="0070391B">
        <w:t xml:space="preserve">, </w:t>
      </w:r>
      <w:r w:rsidRPr="00864E65">
        <w:t xml:space="preserve">ADE </w:t>
      </w:r>
      <w:r w:rsidR="004A66AF">
        <w:t>24/06/19</w:t>
      </w:r>
    </w:p>
    <w:sectPr w:rsidR="00864E65" w:rsidRPr="00864E65" w:rsidSect="0070391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B91" w:rsidRDefault="001B7B91" w:rsidP="001B7B91">
      <w:pPr>
        <w:spacing w:line="240" w:lineRule="auto"/>
      </w:pPr>
      <w:r>
        <w:separator/>
      </w:r>
    </w:p>
  </w:endnote>
  <w:endnote w:type="continuationSeparator" w:id="0">
    <w:p w:rsidR="001B7B91" w:rsidRDefault="001B7B91" w:rsidP="001B7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B91" w:rsidRDefault="001B7B91" w:rsidP="001B7B91">
      <w:pPr>
        <w:spacing w:line="240" w:lineRule="auto"/>
      </w:pPr>
      <w:r>
        <w:separator/>
      </w:r>
    </w:p>
  </w:footnote>
  <w:footnote w:type="continuationSeparator" w:id="0">
    <w:p w:rsidR="001B7B91" w:rsidRDefault="001B7B91" w:rsidP="001B7B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7ED4"/>
    <w:multiLevelType w:val="hybridMultilevel"/>
    <w:tmpl w:val="C5FE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470A"/>
    <w:multiLevelType w:val="hybridMultilevel"/>
    <w:tmpl w:val="FE32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F5289"/>
    <w:multiLevelType w:val="hybridMultilevel"/>
    <w:tmpl w:val="41F60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DC3B65"/>
    <w:multiLevelType w:val="hybridMultilevel"/>
    <w:tmpl w:val="C0CE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A1A47"/>
    <w:multiLevelType w:val="hybridMultilevel"/>
    <w:tmpl w:val="A1FE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33B52"/>
    <w:multiLevelType w:val="hybridMultilevel"/>
    <w:tmpl w:val="F3E67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B0988"/>
    <w:multiLevelType w:val="hybridMultilevel"/>
    <w:tmpl w:val="AB5E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82"/>
    <w:rsid w:val="00003FD7"/>
    <w:rsid w:val="000563AD"/>
    <w:rsid w:val="00091A0A"/>
    <w:rsid w:val="000A0550"/>
    <w:rsid w:val="00135F25"/>
    <w:rsid w:val="00151A22"/>
    <w:rsid w:val="00153086"/>
    <w:rsid w:val="0015628F"/>
    <w:rsid w:val="001B18AD"/>
    <w:rsid w:val="001B4692"/>
    <w:rsid w:val="001B675D"/>
    <w:rsid w:val="001B7B91"/>
    <w:rsid w:val="001D5400"/>
    <w:rsid w:val="001F23EB"/>
    <w:rsid w:val="001F4006"/>
    <w:rsid w:val="00213553"/>
    <w:rsid w:val="00236F8C"/>
    <w:rsid w:val="00256BF6"/>
    <w:rsid w:val="002668DE"/>
    <w:rsid w:val="00266E1F"/>
    <w:rsid w:val="00267997"/>
    <w:rsid w:val="00296000"/>
    <w:rsid w:val="002D753D"/>
    <w:rsid w:val="002F6670"/>
    <w:rsid w:val="00345DEF"/>
    <w:rsid w:val="0035138F"/>
    <w:rsid w:val="0036618A"/>
    <w:rsid w:val="00393733"/>
    <w:rsid w:val="003B21C1"/>
    <w:rsid w:val="003B781B"/>
    <w:rsid w:val="00407898"/>
    <w:rsid w:val="00421378"/>
    <w:rsid w:val="00430818"/>
    <w:rsid w:val="00445D04"/>
    <w:rsid w:val="0045524C"/>
    <w:rsid w:val="00461F4A"/>
    <w:rsid w:val="00463D20"/>
    <w:rsid w:val="00481AD7"/>
    <w:rsid w:val="004A255C"/>
    <w:rsid w:val="004A66AF"/>
    <w:rsid w:val="004D3608"/>
    <w:rsid w:val="004E51CA"/>
    <w:rsid w:val="0054407E"/>
    <w:rsid w:val="00573E95"/>
    <w:rsid w:val="00577CE7"/>
    <w:rsid w:val="00580945"/>
    <w:rsid w:val="00595185"/>
    <w:rsid w:val="005A0420"/>
    <w:rsid w:val="005E61FF"/>
    <w:rsid w:val="005F2D15"/>
    <w:rsid w:val="005F7D46"/>
    <w:rsid w:val="0067626F"/>
    <w:rsid w:val="00683BEA"/>
    <w:rsid w:val="00686AAE"/>
    <w:rsid w:val="00686F88"/>
    <w:rsid w:val="00693EA2"/>
    <w:rsid w:val="00702CC0"/>
    <w:rsid w:val="0070391B"/>
    <w:rsid w:val="00714E97"/>
    <w:rsid w:val="00715702"/>
    <w:rsid w:val="00724B70"/>
    <w:rsid w:val="00746B3C"/>
    <w:rsid w:val="00762011"/>
    <w:rsid w:val="0076478B"/>
    <w:rsid w:val="00771923"/>
    <w:rsid w:val="00782FE7"/>
    <w:rsid w:val="007B2F9F"/>
    <w:rsid w:val="008123FE"/>
    <w:rsid w:val="008211F6"/>
    <w:rsid w:val="00833349"/>
    <w:rsid w:val="00857A55"/>
    <w:rsid w:val="008632E5"/>
    <w:rsid w:val="00864E65"/>
    <w:rsid w:val="00877A62"/>
    <w:rsid w:val="00883DD2"/>
    <w:rsid w:val="00893226"/>
    <w:rsid w:val="008A1CB8"/>
    <w:rsid w:val="008A5177"/>
    <w:rsid w:val="008B2F7D"/>
    <w:rsid w:val="008B31A8"/>
    <w:rsid w:val="008C0749"/>
    <w:rsid w:val="00905F35"/>
    <w:rsid w:val="00910082"/>
    <w:rsid w:val="00912423"/>
    <w:rsid w:val="00916506"/>
    <w:rsid w:val="009515D9"/>
    <w:rsid w:val="009918CF"/>
    <w:rsid w:val="00997531"/>
    <w:rsid w:val="009A3930"/>
    <w:rsid w:val="009B335D"/>
    <w:rsid w:val="00A1748D"/>
    <w:rsid w:val="00A213DB"/>
    <w:rsid w:val="00A3144C"/>
    <w:rsid w:val="00A76DAF"/>
    <w:rsid w:val="00A86DAB"/>
    <w:rsid w:val="00AB67A0"/>
    <w:rsid w:val="00AE62F7"/>
    <w:rsid w:val="00B34CCC"/>
    <w:rsid w:val="00B71ED6"/>
    <w:rsid w:val="00B917B0"/>
    <w:rsid w:val="00BD2D28"/>
    <w:rsid w:val="00C05FF0"/>
    <w:rsid w:val="00C20CCF"/>
    <w:rsid w:val="00C2226E"/>
    <w:rsid w:val="00C2694C"/>
    <w:rsid w:val="00C50E2D"/>
    <w:rsid w:val="00CC4A5C"/>
    <w:rsid w:val="00CD4F43"/>
    <w:rsid w:val="00CE39F4"/>
    <w:rsid w:val="00D17DC9"/>
    <w:rsid w:val="00D22DD4"/>
    <w:rsid w:val="00D24E23"/>
    <w:rsid w:val="00D52973"/>
    <w:rsid w:val="00D60772"/>
    <w:rsid w:val="00D6137B"/>
    <w:rsid w:val="00D715EB"/>
    <w:rsid w:val="00D73E44"/>
    <w:rsid w:val="00D85B02"/>
    <w:rsid w:val="00DA0A9C"/>
    <w:rsid w:val="00DA59DD"/>
    <w:rsid w:val="00DB0693"/>
    <w:rsid w:val="00DF6895"/>
    <w:rsid w:val="00E25145"/>
    <w:rsid w:val="00E275A5"/>
    <w:rsid w:val="00E65961"/>
    <w:rsid w:val="00EB5FA5"/>
    <w:rsid w:val="00EF45D8"/>
    <w:rsid w:val="00F07482"/>
    <w:rsid w:val="00F26A4E"/>
    <w:rsid w:val="00F704F4"/>
    <w:rsid w:val="00FA037B"/>
    <w:rsid w:val="00FE03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353A34"/>
  <w15:docId w15:val="{04BB5A8B-D0AE-42D6-9BD5-8BCBB856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lang w:val="en-GB"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482"/>
    <w:pPr>
      <w:ind w:left="720"/>
      <w:contextualSpacing/>
    </w:pPr>
  </w:style>
  <w:style w:type="table" w:styleId="TableGrid">
    <w:name w:val="Table Grid"/>
    <w:basedOn w:val="TableNormal"/>
    <w:uiPriority w:val="59"/>
    <w:rsid w:val="005E61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B91"/>
    <w:pPr>
      <w:tabs>
        <w:tab w:val="center" w:pos="4513"/>
        <w:tab w:val="right" w:pos="9026"/>
      </w:tabs>
      <w:spacing w:line="240" w:lineRule="auto"/>
    </w:pPr>
  </w:style>
  <w:style w:type="character" w:customStyle="1" w:styleId="HeaderChar">
    <w:name w:val="Header Char"/>
    <w:basedOn w:val="DefaultParagraphFont"/>
    <w:link w:val="Header"/>
    <w:uiPriority w:val="99"/>
    <w:rsid w:val="001B7B91"/>
  </w:style>
  <w:style w:type="paragraph" w:styleId="Footer">
    <w:name w:val="footer"/>
    <w:basedOn w:val="Normal"/>
    <w:link w:val="FooterChar"/>
    <w:uiPriority w:val="99"/>
    <w:unhideWhenUsed/>
    <w:rsid w:val="001B7B91"/>
    <w:pPr>
      <w:tabs>
        <w:tab w:val="center" w:pos="4513"/>
        <w:tab w:val="right" w:pos="9026"/>
      </w:tabs>
      <w:spacing w:line="240" w:lineRule="auto"/>
    </w:pPr>
  </w:style>
  <w:style w:type="character" w:customStyle="1" w:styleId="FooterChar">
    <w:name w:val="Footer Char"/>
    <w:basedOn w:val="DefaultParagraphFont"/>
    <w:link w:val="Footer"/>
    <w:uiPriority w:val="99"/>
    <w:rsid w:val="001B7B91"/>
  </w:style>
  <w:style w:type="character" w:styleId="Hyperlink">
    <w:name w:val="Hyperlink"/>
    <w:basedOn w:val="DefaultParagraphFont"/>
    <w:uiPriority w:val="99"/>
    <w:unhideWhenUsed/>
    <w:rsid w:val="00A213DB"/>
    <w:rPr>
      <w:color w:val="0000FF" w:themeColor="hyperlink"/>
      <w:u w:val="single"/>
    </w:rPr>
  </w:style>
  <w:style w:type="character" w:styleId="FollowedHyperlink">
    <w:name w:val="FollowedHyperlink"/>
    <w:basedOn w:val="DefaultParagraphFont"/>
    <w:uiPriority w:val="99"/>
    <w:semiHidden/>
    <w:unhideWhenUsed/>
    <w:rsid w:val="004A66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owie.ljmu.ac.uk/FacultyLTA/Resources/UG%20Programme%20Leader%20resources.htm" TargetMode="External"/><Relationship Id="rId3" Type="http://schemas.openxmlformats.org/officeDocument/2006/relationships/settings" Target="settings.xml"/><Relationship Id="rId7" Type="http://schemas.openxmlformats.org/officeDocument/2006/relationships/hyperlink" Target="http://www.orielstudios.co.uk/" TargetMode="External"/><Relationship Id="rId12" Type="http://schemas.openxmlformats.org/officeDocument/2006/relationships/hyperlink" Target="http://wowie.ljmu.ac.uk/FacultyLTA/goodpracticesharing/walkaboutweek.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damson@ljmu.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owie.ljmu.ac.uk/FacultyLTA/Resources/UG%20Programme%20Leader%20resources.htm" TargetMode="External"/><Relationship Id="rId4" Type="http://schemas.openxmlformats.org/officeDocument/2006/relationships/webSettings" Target="webSettings.xml"/><Relationship Id="rId9" Type="http://schemas.openxmlformats.org/officeDocument/2006/relationships/hyperlink" Target="http://wowie.ljmu.ac.uk/FacultyLTA/resources/PDT%20schedul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phcpdent</dc:creator>
  <cp:lastModifiedBy>Denton, Philip</cp:lastModifiedBy>
  <cp:revision>22</cp:revision>
  <dcterms:created xsi:type="dcterms:W3CDTF">2018-09-19T12:10:00Z</dcterms:created>
  <dcterms:modified xsi:type="dcterms:W3CDTF">2019-12-03T10:41:00Z</dcterms:modified>
</cp:coreProperties>
</file>