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11F" w:rsidRPr="008C68F0" w:rsidRDefault="005731E8" w:rsidP="00851991">
      <w:pPr>
        <w:rPr>
          <w:rFonts w:ascii="Arial" w:hAnsi="Arial" w:cs="Arial"/>
          <w:b/>
          <w:sz w:val="28"/>
          <w:szCs w:val="28"/>
        </w:rPr>
      </w:pPr>
      <w:r w:rsidRPr="008C68F0">
        <w:rPr>
          <w:rFonts w:ascii="Arial" w:hAnsi="Arial" w:cs="Arial"/>
          <w:b/>
          <w:sz w:val="28"/>
          <w:szCs w:val="28"/>
        </w:rPr>
        <w:t>SCS</w:t>
      </w:r>
      <w:r w:rsidR="00D5467A" w:rsidRPr="008C68F0">
        <w:rPr>
          <w:rFonts w:ascii="Arial" w:hAnsi="Arial" w:cs="Arial"/>
          <w:b/>
          <w:sz w:val="28"/>
          <w:szCs w:val="28"/>
        </w:rPr>
        <w:t xml:space="preserve"> </w:t>
      </w:r>
      <w:r w:rsidRPr="008C68F0">
        <w:rPr>
          <w:rFonts w:ascii="Arial" w:hAnsi="Arial" w:cs="Arial"/>
          <w:b/>
          <w:sz w:val="28"/>
          <w:szCs w:val="28"/>
        </w:rPr>
        <w:t xml:space="preserve">Teaching Observation </w:t>
      </w:r>
      <w:r w:rsidR="00D9111F" w:rsidRPr="008C68F0">
        <w:rPr>
          <w:rFonts w:ascii="Arial" w:hAnsi="Arial" w:cs="Arial"/>
          <w:b/>
          <w:sz w:val="28"/>
          <w:szCs w:val="28"/>
        </w:rPr>
        <w:t>Scheme Annual Report</w:t>
      </w:r>
      <w:r w:rsidR="00D5467A" w:rsidRPr="008C68F0">
        <w:rPr>
          <w:rFonts w:ascii="Arial" w:hAnsi="Arial" w:cs="Arial"/>
          <w:b/>
          <w:sz w:val="28"/>
          <w:szCs w:val="28"/>
        </w:rPr>
        <w:t xml:space="preserve"> 201</w:t>
      </w:r>
      <w:r w:rsidR="00134329" w:rsidRPr="008C68F0">
        <w:rPr>
          <w:rFonts w:ascii="Arial" w:hAnsi="Arial" w:cs="Arial"/>
          <w:b/>
          <w:sz w:val="28"/>
          <w:szCs w:val="28"/>
        </w:rPr>
        <w:t>7</w:t>
      </w:r>
      <w:r w:rsidR="00D5467A" w:rsidRPr="008C68F0">
        <w:rPr>
          <w:rFonts w:ascii="Arial" w:hAnsi="Arial" w:cs="Arial"/>
          <w:b/>
          <w:sz w:val="28"/>
          <w:szCs w:val="28"/>
        </w:rPr>
        <w:t>-1</w:t>
      </w:r>
      <w:r w:rsidR="00134329" w:rsidRPr="008C68F0">
        <w:rPr>
          <w:rFonts w:ascii="Arial" w:hAnsi="Arial" w:cs="Arial"/>
          <w:b/>
          <w:sz w:val="28"/>
          <w:szCs w:val="28"/>
        </w:rPr>
        <w:t>8</w:t>
      </w:r>
    </w:p>
    <w:p w:rsidR="00EA2B0B" w:rsidRPr="008C68F0" w:rsidRDefault="00AE1163" w:rsidP="00FF4EE4">
      <w:pPr>
        <w:pStyle w:val="Heading1"/>
      </w:pPr>
      <w:r w:rsidRPr="008C68F0">
        <w:t>Background</w:t>
      </w:r>
    </w:p>
    <w:p w:rsidR="00134329" w:rsidRPr="008C68F0" w:rsidRDefault="00B53F8C" w:rsidP="005731E8">
      <w:r w:rsidRPr="008C68F0">
        <w:t>201</w:t>
      </w:r>
      <w:r w:rsidR="00134329" w:rsidRPr="008C68F0">
        <w:t>7</w:t>
      </w:r>
      <w:r w:rsidRPr="008C68F0">
        <w:t>-1</w:t>
      </w:r>
      <w:r w:rsidR="00134329" w:rsidRPr="008C68F0">
        <w:t>8</w:t>
      </w:r>
      <w:r w:rsidRPr="008C68F0">
        <w:t xml:space="preserve"> represents the </w:t>
      </w:r>
      <w:r w:rsidR="00134329" w:rsidRPr="008C68F0">
        <w:t>third</w:t>
      </w:r>
      <w:r w:rsidRPr="008C68F0">
        <w:t xml:space="preserve"> year of </w:t>
      </w:r>
      <w:r w:rsidR="00A47FBA" w:rsidRPr="008C68F0">
        <w:t>a</w:t>
      </w:r>
      <w:r w:rsidRPr="008C68F0">
        <w:t xml:space="preserve"> </w:t>
      </w:r>
      <w:r w:rsidR="005731E8" w:rsidRPr="008C68F0">
        <w:t xml:space="preserve">Faculty </w:t>
      </w:r>
      <w:r w:rsidRPr="008C68F0">
        <w:t>observation scheme</w:t>
      </w:r>
      <w:r w:rsidR="009A398F" w:rsidRPr="008C68F0">
        <w:t xml:space="preserve"> that follows the</w:t>
      </w:r>
      <w:r w:rsidR="00D8738F" w:rsidRPr="008C68F0">
        <w:t xml:space="preserve"> University’s most recent</w:t>
      </w:r>
      <w:r w:rsidR="00BB085E" w:rsidRPr="008C68F0">
        <w:t xml:space="preserve"> </w:t>
      </w:r>
      <w:hyperlink r:id="rId8" w:history="1">
        <w:r w:rsidR="00BB085E" w:rsidRPr="008C68F0">
          <w:rPr>
            <w:rStyle w:val="Hyperlink"/>
          </w:rPr>
          <w:t>Learning and Teaching Framework</w:t>
        </w:r>
      </w:hyperlink>
      <w:r w:rsidRPr="008C68F0">
        <w:t>.</w:t>
      </w:r>
      <w:r w:rsidR="005731E8" w:rsidRPr="008C68F0">
        <w:t xml:space="preserve"> </w:t>
      </w:r>
      <w:r w:rsidR="009A398F" w:rsidRPr="008C68F0">
        <w:t>The majority of staff have now acted in an observer or observee role in the previous two years and, i</w:t>
      </w:r>
      <w:r w:rsidR="00134329" w:rsidRPr="008C68F0">
        <w:t xml:space="preserve">n alignment with guidance from the Teaching and Learning Academy, online guidance </w:t>
      </w:r>
      <w:r w:rsidR="009A398F" w:rsidRPr="008C68F0">
        <w:t xml:space="preserve">only </w:t>
      </w:r>
      <w:r w:rsidR="00134329" w:rsidRPr="008C68F0">
        <w:t>was provided for staff that had not previously undertaken an observer role.</w:t>
      </w:r>
    </w:p>
    <w:p w:rsidR="00134329" w:rsidRPr="008C68F0" w:rsidRDefault="00134329" w:rsidP="009A398F">
      <w:pPr>
        <w:spacing w:after="0"/>
      </w:pPr>
      <w:r w:rsidRPr="008C68F0">
        <w:t>The</w:t>
      </w:r>
      <w:r w:rsidR="005731E8" w:rsidRPr="008C68F0">
        <w:t xml:space="preserve"> form used to record observation reflections and feedback, shared between observer and observee only, was identified within the Faculty as Form A.  </w:t>
      </w:r>
      <w:r w:rsidRPr="008C68F0">
        <w:t>Observers were again invited to use the Faculty’s DISCO prompts when observing sessions:</w:t>
      </w:r>
    </w:p>
    <w:p w:rsidR="00134329" w:rsidRPr="008C68F0" w:rsidRDefault="00134329" w:rsidP="00134329">
      <w:pPr>
        <w:pStyle w:val="ListParagraph"/>
        <w:numPr>
          <w:ilvl w:val="0"/>
          <w:numId w:val="4"/>
        </w:numPr>
      </w:pPr>
      <w:r w:rsidRPr="008C68F0">
        <w:t>Delivery</w:t>
      </w:r>
    </w:p>
    <w:p w:rsidR="00134329" w:rsidRPr="008C68F0" w:rsidRDefault="00134329" w:rsidP="00134329">
      <w:pPr>
        <w:pStyle w:val="ListParagraph"/>
        <w:numPr>
          <w:ilvl w:val="0"/>
          <w:numId w:val="4"/>
        </w:numPr>
      </w:pPr>
      <w:r w:rsidRPr="008C68F0">
        <w:t>Inclusivity</w:t>
      </w:r>
    </w:p>
    <w:p w:rsidR="00134329" w:rsidRPr="008C68F0" w:rsidRDefault="00134329" w:rsidP="00134329">
      <w:pPr>
        <w:pStyle w:val="ListParagraph"/>
        <w:numPr>
          <w:ilvl w:val="0"/>
          <w:numId w:val="4"/>
        </w:numPr>
      </w:pPr>
      <w:r w:rsidRPr="008C68F0">
        <w:t>Structure</w:t>
      </w:r>
    </w:p>
    <w:p w:rsidR="00134329" w:rsidRPr="008C68F0" w:rsidRDefault="00134329" w:rsidP="00134329">
      <w:pPr>
        <w:pStyle w:val="ListParagraph"/>
        <w:numPr>
          <w:ilvl w:val="0"/>
          <w:numId w:val="4"/>
        </w:numPr>
      </w:pPr>
      <w:r w:rsidRPr="008C68F0">
        <w:t>Content</w:t>
      </w:r>
    </w:p>
    <w:p w:rsidR="00134329" w:rsidRPr="008C68F0" w:rsidRDefault="00134329" w:rsidP="009A398F">
      <w:pPr>
        <w:pStyle w:val="ListParagraph"/>
        <w:numPr>
          <w:ilvl w:val="0"/>
          <w:numId w:val="4"/>
        </w:numPr>
        <w:spacing w:after="0"/>
        <w:ind w:left="714" w:hanging="357"/>
      </w:pPr>
      <w:r w:rsidRPr="008C68F0">
        <w:t>Operational (</w:t>
      </w:r>
      <w:r w:rsidR="00D8738F" w:rsidRPr="008C68F0">
        <w:t>e.g. manipulation</w:t>
      </w:r>
      <w:r w:rsidRPr="008C68F0">
        <w:t xml:space="preserve"> of AV, blackout, control of environment, safety)</w:t>
      </w:r>
    </w:p>
    <w:p w:rsidR="00A47FBA" w:rsidRPr="008C68F0" w:rsidRDefault="00A47FBA" w:rsidP="00134329">
      <w:pPr>
        <w:rPr>
          <w:sz w:val="2"/>
          <w:szCs w:val="2"/>
        </w:rPr>
      </w:pPr>
    </w:p>
    <w:p w:rsidR="00134329" w:rsidRPr="008C68F0" w:rsidRDefault="009A398F" w:rsidP="00134329">
      <w:r w:rsidRPr="008C68F0">
        <w:t>Rather than</w:t>
      </w:r>
      <w:r w:rsidR="00134329" w:rsidRPr="008C68F0">
        <w:t xml:space="preserve"> individual boxes to record responses to prompts, Form A was re-designed to that a single box could be used to record the observer’s overall sentiments about the session. After consideration of these five interconnected themes, observers are asked to respond to this question on Form A, “Overall, were students engaged during this session?”</w:t>
      </w:r>
    </w:p>
    <w:p w:rsidR="005731E8" w:rsidRPr="008C68F0" w:rsidRDefault="005731E8" w:rsidP="005731E8">
      <w:r w:rsidRPr="008C68F0">
        <w:t>The form returned to the A</w:t>
      </w:r>
      <w:r w:rsidR="007F6372" w:rsidRPr="008C68F0">
        <w:t>ssociate Dean Education</w:t>
      </w:r>
      <w:r w:rsidR="00D8738F" w:rsidRPr="008C68F0">
        <w:t xml:space="preserve"> (ADE)</w:t>
      </w:r>
      <w:r w:rsidR="00134329" w:rsidRPr="008C68F0">
        <w:t xml:space="preserve"> remained unchanged (Form B) and it has the same format as that suggested in the University’s framework. It was used</w:t>
      </w:r>
      <w:r w:rsidRPr="008C68F0">
        <w:t xml:space="preserve"> </w:t>
      </w:r>
      <w:r w:rsidR="00D8738F" w:rsidRPr="008C68F0">
        <w:t>by the ADE to</w:t>
      </w:r>
      <w:r w:rsidRPr="008C68F0">
        <w:t xml:space="preserve"> confirm that the observation had taken place</w:t>
      </w:r>
      <w:r w:rsidR="00134329" w:rsidRPr="008C68F0">
        <w:t>.</w:t>
      </w:r>
    </w:p>
    <w:p w:rsidR="00695C8A" w:rsidRPr="008C68F0" w:rsidRDefault="00D42B77" w:rsidP="009A398F">
      <w:pPr>
        <w:spacing w:after="0"/>
      </w:pPr>
      <w:r w:rsidRPr="008C68F0">
        <w:t xml:space="preserve">At the start of each year, </w:t>
      </w:r>
      <w:r w:rsidR="007F6372" w:rsidRPr="008C68F0">
        <w:t xml:space="preserve">School </w:t>
      </w:r>
      <w:r w:rsidR="00695C8A" w:rsidRPr="008C68F0">
        <w:t xml:space="preserve">Directors </w:t>
      </w:r>
      <w:r w:rsidR="00134329" w:rsidRPr="008C68F0">
        <w:t>or nominees were</w:t>
      </w:r>
      <w:r w:rsidR="00695C8A" w:rsidRPr="008C68F0">
        <w:t xml:space="preserve"> invited to </w:t>
      </w:r>
      <w:r w:rsidR="006131D5" w:rsidRPr="008C68F0">
        <w:t>allocate</w:t>
      </w:r>
      <w:r w:rsidR="00D8738F" w:rsidRPr="008C68F0">
        <w:t xml:space="preserve"> observation pairs, the ADE identifying those staff due to take observer or observee roles based on the scheme’s biennial cycle</w:t>
      </w:r>
      <w:r w:rsidR="00695C8A" w:rsidRPr="008C68F0">
        <w:t xml:space="preserve">. </w:t>
      </w:r>
      <w:r w:rsidRPr="008C68F0">
        <w:t xml:space="preserve"> </w:t>
      </w:r>
      <w:r w:rsidR="00695C8A" w:rsidRPr="008C68F0">
        <w:t xml:space="preserve">Any observations that did not take place in the preceding year </w:t>
      </w:r>
      <w:r w:rsidR="00134329" w:rsidRPr="008C68F0">
        <w:t>were</w:t>
      </w:r>
      <w:r w:rsidR="00695C8A" w:rsidRPr="008C68F0">
        <w:t xml:space="preserve"> rolled-over into </w:t>
      </w:r>
      <w:r w:rsidR="00134329" w:rsidRPr="008C68F0">
        <w:t xml:space="preserve">the current year if both </w:t>
      </w:r>
      <w:r w:rsidR="00695C8A" w:rsidRPr="008C68F0">
        <w:t>observer and observee remain</w:t>
      </w:r>
      <w:r w:rsidR="009A398F" w:rsidRPr="008C68F0">
        <w:t>ed</w:t>
      </w:r>
      <w:r w:rsidR="00695C8A" w:rsidRPr="008C68F0">
        <w:t xml:space="preserve"> eligible.</w:t>
      </w:r>
      <w:r w:rsidR="009A398F" w:rsidRPr="008C68F0">
        <w:t xml:space="preserve"> Observers were emailed in September/October with th</w:t>
      </w:r>
      <w:r w:rsidR="00D310E3" w:rsidRPr="008C68F0">
        <w:t>eir observation partner and the</w:t>
      </w:r>
      <w:r w:rsidR="009A398F" w:rsidRPr="008C68F0">
        <w:t xml:space="preserve"> scheme </w:t>
      </w:r>
      <w:r w:rsidR="00D310E3" w:rsidRPr="008C68F0">
        <w:t>was</w:t>
      </w:r>
      <w:r w:rsidR="009A398F" w:rsidRPr="008C68F0">
        <w:t xml:space="preserve"> summarised with the expression;</w:t>
      </w:r>
    </w:p>
    <w:p w:rsidR="009A398F" w:rsidRPr="008C68F0" w:rsidRDefault="009A398F" w:rsidP="009A398F">
      <w:pPr>
        <w:jc w:val="center"/>
        <w:rPr>
          <w:i/>
        </w:rPr>
      </w:pPr>
      <w:r w:rsidRPr="008C68F0">
        <w:rPr>
          <w:i/>
        </w:rPr>
        <w:t>“When one observes, two learn.”</w:t>
      </w:r>
    </w:p>
    <w:p w:rsidR="009A398F" w:rsidRPr="008C68F0" w:rsidRDefault="009A398F" w:rsidP="009A398F">
      <w:pPr>
        <w:pStyle w:val="Heading1"/>
        <w:spacing w:before="0"/>
        <w:rPr>
          <w:rFonts w:asciiTheme="minorHAnsi" w:hAnsiTheme="minorHAnsi" w:cstheme="minorHAnsi"/>
          <w:b w:val="0"/>
          <w:sz w:val="22"/>
          <w:szCs w:val="22"/>
        </w:rPr>
      </w:pPr>
      <w:r w:rsidRPr="008C68F0">
        <w:rPr>
          <w:rFonts w:asciiTheme="minorHAnsi" w:hAnsiTheme="minorHAnsi" w:cstheme="minorHAnsi"/>
          <w:b w:val="0"/>
          <w:sz w:val="22"/>
          <w:szCs w:val="22"/>
        </w:rPr>
        <w:t xml:space="preserve">This </w:t>
      </w:r>
      <w:r w:rsidR="00D8738F" w:rsidRPr="008C68F0">
        <w:rPr>
          <w:rFonts w:asciiTheme="minorHAnsi" w:hAnsiTheme="minorHAnsi" w:cstheme="minorHAnsi"/>
          <w:b w:val="0"/>
          <w:sz w:val="22"/>
          <w:szCs w:val="22"/>
        </w:rPr>
        <w:t xml:space="preserve">phrase </w:t>
      </w:r>
      <w:r w:rsidRPr="008C68F0">
        <w:rPr>
          <w:rFonts w:asciiTheme="minorHAnsi" w:hAnsiTheme="minorHAnsi" w:cstheme="minorHAnsi"/>
          <w:b w:val="0"/>
          <w:sz w:val="22"/>
          <w:szCs w:val="22"/>
        </w:rPr>
        <w:t>conveys neatly the confidential and developmental principles underlying our scheme.</w:t>
      </w:r>
    </w:p>
    <w:p w:rsidR="00AE1163" w:rsidRPr="008C68F0" w:rsidRDefault="00AE1163" w:rsidP="00FF4EE4">
      <w:pPr>
        <w:pStyle w:val="Heading1"/>
      </w:pPr>
      <w:r w:rsidRPr="008C68F0">
        <w:t>Summary</w:t>
      </w:r>
      <w:r w:rsidR="00BB085E" w:rsidRPr="008C68F0">
        <w:t xml:space="preserve"> for 201</w:t>
      </w:r>
      <w:r w:rsidR="00134329" w:rsidRPr="008C68F0">
        <w:t>7</w:t>
      </w:r>
      <w:r w:rsidR="00BB085E" w:rsidRPr="008C68F0">
        <w:t>/1</w:t>
      </w:r>
      <w:r w:rsidR="00134329" w:rsidRPr="008C68F0">
        <w:t>8</w:t>
      </w:r>
    </w:p>
    <w:tbl>
      <w:tblPr>
        <w:tblW w:w="8793" w:type="dxa"/>
        <w:tblLook w:val="04A0" w:firstRow="1" w:lastRow="0" w:firstColumn="1" w:lastColumn="0" w:noHBand="0" w:noVBand="1"/>
      </w:tblPr>
      <w:tblGrid>
        <w:gridCol w:w="573"/>
        <w:gridCol w:w="1644"/>
        <w:gridCol w:w="1644"/>
        <w:gridCol w:w="1644"/>
        <w:gridCol w:w="1644"/>
        <w:gridCol w:w="1644"/>
      </w:tblGrid>
      <w:tr w:rsidR="00134329" w:rsidRPr="008C68F0" w:rsidTr="00134329">
        <w:trPr>
          <w:trHeight w:val="960"/>
        </w:trPr>
        <w:tc>
          <w:tcPr>
            <w:tcW w:w="5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34329" w:rsidRPr="008C68F0" w:rsidRDefault="00134329" w:rsidP="0013432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 </w:t>
            </w:r>
          </w:p>
        </w:tc>
        <w:tc>
          <w:tcPr>
            <w:tcW w:w="1644" w:type="dxa"/>
            <w:tcBorders>
              <w:top w:val="single" w:sz="8" w:space="0" w:color="auto"/>
              <w:left w:val="nil"/>
              <w:bottom w:val="single" w:sz="8" w:space="0" w:color="auto"/>
              <w:right w:val="single" w:sz="8" w:space="0" w:color="auto"/>
            </w:tcBorders>
            <w:shd w:val="clear" w:color="auto" w:fill="auto"/>
            <w:vAlign w:val="center"/>
            <w:hideMark/>
          </w:tcPr>
          <w:p w:rsidR="00134329" w:rsidRPr="008C68F0" w:rsidRDefault="00134329" w:rsidP="0013432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Faculty-scheduled observation*</w:t>
            </w:r>
          </w:p>
        </w:tc>
        <w:tc>
          <w:tcPr>
            <w:tcW w:w="1644" w:type="dxa"/>
            <w:tcBorders>
              <w:top w:val="single" w:sz="8" w:space="0" w:color="auto"/>
              <w:left w:val="nil"/>
              <w:bottom w:val="single" w:sz="8" w:space="0" w:color="auto"/>
              <w:right w:val="single" w:sz="8" w:space="0" w:color="auto"/>
            </w:tcBorders>
            <w:shd w:val="clear" w:color="auto" w:fill="auto"/>
            <w:vAlign w:val="center"/>
            <w:hideMark/>
          </w:tcPr>
          <w:p w:rsidR="00134329" w:rsidRPr="008C68F0" w:rsidRDefault="00134329" w:rsidP="0013432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PGCert- scheduled observation</w:t>
            </w:r>
          </w:p>
        </w:tc>
        <w:tc>
          <w:tcPr>
            <w:tcW w:w="1644" w:type="dxa"/>
            <w:tcBorders>
              <w:top w:val="single" w:sz="8" w:space="0" w:color="auto"/>
              <w:left w:val="nil"/>
              <w:bottom w:val="single" w:sz="8" w:space="0" w:color="auto"/>
              <w:right w:val="single" w:sz="8" w:space="0" w:color="auto"/>
            </w:tcBorders>
            <w:shd w:val="clear" w:color="auto" w:fill="auto"/>
            <w:vAlign w:val="center"/>
            <w:hideMark/>
          </w:tcPr>
          <w:p w:rsidR="00134329" w:rsidRPr="008C68F0" w:rsidRDefault="00134329" w:rsidP="0013432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Total scheduled observations</w:t>
            </w:r>
          </w:p>
        </w:tc>
        <w:tc>
          <w:tcPr>
            <w:tcW w:w="1644" w:type="dxa"/>
            <w:tcBorders>
              <w:top w:val="single" w:sz="8" w:space="0" w:color="auto"/>
              <w:left w:val="nil"/>
              <w:bottom w:val="single" w:sz="8" w:space="0" w:color="auto"/>
              <w:right w:val="single" w:sz="8" w:space="0" w:color="auto"/>
            </w:tcBorders>
            <w:shd w:val="clear" w:color="auto" w:fill="auto"/>
            <w:vAlign w:val="center"/>
            <w:hideMark/>
          </w:tcPr>
          <w:p w:rsidR="00134329" w:rsidRPr="008C68F0" w:rsidRDefault="00134329" w:rsidP="0013432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Actual observations</w:t>
            </w:r>
          </w:p>
        </w:tc>
        <w:tc>
          <w:tcPr>
            <w:tcW w:w="1644" w:type="dxa"/>
            <w:tcBorders>
              <w:top w:val="single" w:sz="8" w:space="0" w:color="auto"/>
              <w:left w:val="nil"/>
              <w:bottom w:val="single" w:sz="8" w:space="0" w:color="auto"/>
              <w:right w:val="single" w:sz="8" w:space="0" w:color="auto"/>
            </w:tcBorders>
            <w:shd w:val="clear" w:color="auto" w:fill="auto"/>
            <w:vAlign w:val="center"/>
            <w:hideMark/>
          </w:tcPr>
          <w:p w:rsidR="00134329" w:rsidRPr="008C68F0" w:rsidRDefault="00134329" w:rsidP="0013432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 of Observations completed**</w:t>
            </w:r>
          </w:p>
        </w:tc>
      </w:tr>
      <w:tr w:rsidR="00134329" w:rsidRPr="008C68F0" w:rsidTr="00134329">
        <w:trPr>
          <w:trHeight w:val="315"/>
        </w:trPr>
        <w:tc>
          <w:tcPr>
            <w:tcW w:w="573" w:type="dxa"/>
            <w:tcBorders>
              <w:top w:val="nil"/>
              <w:left w:val="single" w:sz="8" w:space="0" w:color="auto"/>
              <w:bottom w:val="single" w:sz="8" w:space="0" w:color="auto"/>
              <w:right w:val="single" w:sz="8" w:space="0" w:color="auto"/>
            </w:tcBorders>
            <w:shd w:val="clear" w:color="auto" w:fill="auto"/>
            <w:vAlign w:val="center"/>
            <w:hideMark/>
          </w:tcPr>
          <w:p w:rsidR="00134329" w:rsidRPr="008C68F0" w:rsidRDefault="00134329" w:rsidP="0013432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NSP</w:t>
            </w:r>
          </w:p>
        </w:tc>
        <w:tc>
          <w:tcPr>
            <w:tcW w:w="1644" w:type="dxa"/>
            <w:tcBorders>
              <w:top w:val="nil"/>
              <w:left w:val="nil"/>
              <w:bottom w:val="single" w:sz="8" w:space="0" w:color="auto"/>
              <w:right w:val="single" w:sz="8" w:space="0" w:color="auto"/>
            </w:tcBorders>
            <w:shd w:val="clear" w:color="auto" w:fill="auto"/>
            <w:vAlign w:val="center"/>
            <w:hideMark/>
          </w:tcPr>
          <w:p w:rsidR="00134329" w:rsidRPr="008C68F0" w:rsidRDefault="00134329" w:rsidP="0013432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48</w:t>
            </w:r>
          </w:p>
        </w:tc>
        <w:tc>
          <w:tcPr>
            <w:tcW w:w="1644" w:type="dxa"/>
            <w:tcBorders>
              <w:top w:val="nil"/>
              <w:left w:val="nil"/>
              <w:bottom w:val="single" w:sz="8" w:space="0" w:color="auto"/>
              <w:right w:val="single" w:sz="8" w:space="0" w:color="auto"/>
            </w:tcBorders>
            <w:shd w:val="clear" w:color="auto" w:fill="auto"/>
            <w:vAlign w:val="center"/>
            <w:hideMark/>
          </w:tcPr>
          <w:p w:rsidR="00134329" w:rsidRPr="008C68F0" w:rsidRDefault="00134329" w:rsidP="0013432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5</w:t>
            </w:r>
          </w:p>
        </w:tc>
        <w:tc>
          <w:tcPr>
            <w:tcW w:w="1644" w:type="dxa"/>
            <w:tcBorders>
              <w:top w:val="nil"/>
              <w:left w:val="nil"/>
              <w:bottom w:val="single" w:sz="8" w:space="0" w:color="auto"/>
              <w:right w:val="single" w:sz="8" w:space="0" w:color="auto"/>
            </w:tcBorders>
            <w:shd w:val="clear" w:color="auto" w:fill="auto"/>
            <w:vAlign w:val="center"/>
            <w:hideMark/>
          </w:tcPr>
          <w:p w:rsidR="00134329" w:rsidRPr="008C68F0" w:rsidRDefault="00134329" w:rsidP="0013432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53</w:t>
            </w:r>
          </w:p>
        </w:tc>
        <w:tc>
          <w:tcPr>
            <w:tcW w:w="1644" w:type="dxa"/>
            <w:tcBorders>
              <w:top w:val="nil"/>
              <w:left w:val="nil"/>
              <w:bottom w:val="single" w:sz="8" w:space="0" w:color="auto"/>
              <w:right w:val="single" w:sz="8" w:space="0" w:color="auto"/>
            </w:tcBorders>
            <w:shd w:val="clear" w:color="auto" w:fill="auto"/>
            <w:vAlign w:val="center"/>
            <w:hideMark/>
          </w:tcPr>
          <w:p w:rsidR="00134329" w:rsidRPr="008C68F0" w:rsidRDefault="00134329" w:rsidP="0013432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48</w:t>
            </w:r>
          </w:p>
        </w:tc>
        <w:tc>
          <w:tcPr>
            <w:tcW w:w="1644" w:type="dxa"/>
            <w:tcBorders>
              <w:top w:val="nil"/>
              <w:left w:val="nil"/>
              <w:bottom w:val="single" w:sz="8" w:space="0" w:color="auto"/>
              <w:right w:val="single" w:sz="8" w:space="0" w:color="auto"/>
            </w:tcBorders>
            <w:shd w:val="clear" w:color="auto" w:fill="auto"/>
            <w:vAlign w:val="center"/>
            <w:hideMark/>
          </w:tcPr>
          <w:p w:rsidR="00134329" w:rsidRPr="008C68F0" w:rsidRDefault="00134329" w:rsidP="0013432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91%</w:t>
            </w:r>
          </w:p>
        </w:tc>
      </w:tr>
      <w:tr w:rsidR="00134329" w:rsidRPr="008C68F0" w:rsidTr="00134329">
        <w:trPr>
          <w:trHeight w:val="315"/>
        </w:trPr>
        <w:tc>
          <w:tcPr>
            <w:tcW w:w="573" w:type="dxa"/>
            <w:tcBorders>
              <w:top w:val="nil"/>
              <w:left w:val="single" w:sz="8" w:space="0" w:color="auto"/>
              <w:bottom w:val="single" w:sz="8" w:space="0" w:color="auto"/>
              <w:right w:val="single" w:sz="8" w:space="0" w:color="auto"/>
            </w:tcBorders>
            <w:shd w:val="clear" w:color="auto" w:fill="auto"/>
            <w:vAlign w:val="center"/>
            <w:hideMark/>
          </w:tcPr>
          <w:p w:rsidR="00134329" w:rsidRPr="008C68F0" w:rsidRDefault="00134329" w:rsidP="0013432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PBS</w:t>
            </w:r>
          </w:p>
        </w:tc>
        <w:tc>
          <w:tcPr>
            <w:tcW w:w="1644" w:type="dxa"/>
            <w:tcBorders>
              <w:top w:val="nil"/>
              <w:left w:val="nil"/>
              <w:bottom w:val="single" w:sz="8" w:space="0" w:color="auto"/>
              <w:right w:val="single" w:sz="8" w:space="0" w:color="auto"/>
            </w:tcBorders>
            <w:shd w:val="clear" w:color="auto" w:fill="auto"/>
            <w:vAlign w:val="center"/>
            <w:hideMark/>
          </w:tcPr>
          <w:p w:rsidR="00134329" w:rsidRPr="008C68F0" w:rsidRDefault="00134329" w:rsidP="0013432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36</w:t>
            </w:r>
          </w:p>
        </w:tc>
        <w:tc>
          <w:tcPr>
            <w:tcW w:w="1644" w:type="dxa"/>
            <w:tcBorders>
              <w:top w:val="nil"/>
              <w:left w:val="nil"/>
              <w:bottom w:val="single" w:sz="8" w:space="0" w:color="auto"/>
              <w:right w:val="single" w:sz="8" w:space="0" w:color="auto"/>
            </w:tcBorders>
            <w:shd w:val="clear" w:color="auto" w:fill="auto"/>
            <w:vAlign w:val="center"/>
            <w:hideMark/>
          </w:tcPr>
          <w:p w:rsidR="00134329" w:rsidRPr="008C68F0" w:rsidRDefault="00134329" w:rsidP="0013432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3</w:t>
            </w:r>
          </w:p>
        </w:tc>
        <w:tc>
          <w:tcPr>
            <w:tcW w:w="1644" w:type="dxa"/>
            <w:tcBorders>
              <w:top w:val="nil"/>
              <w:left w:val="nil"/>
              <w:bottom w:val="single" w:sz="8" w:space="0" w:color="auto"/>
              <w:right w:val="single" w:sz="8" w:space="0" w:color="auto"/>
            </w:tcBorders>
            <w:shd w:val="clear" w:color="auto" w:fill="auto"/>
            <w:vAlign w:val="center"/>
            <w:hideMark/>
          </w:tcPr>
          <w:p w:rsidR="00134329" w:rsidRPr="008C68F0" w:rsidRDefault="00134329" w:rsidP="0013432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39</w:t>
            </w:r>
          </w:p>
        </w:tc>
        <w:tc>
          <w:tcPr>
            <w:tcW w:w="1644" w:type="dxa"/>
            <w:tcBorders>
              <w:top w:val="nil"/>
              <w:left w:val="nil"/>
              <w:bottom w:val="single" w:sz="8" w:space="0" w:color="auto"/>
              <w:right w:val="single" w:sz="8" w:space="0" w:color="auto"/>
            </w:tcBorders>
            <w:shd w:val="clear" w:color="auto" w:fill="auto"/>
            <w:vAlign w:val="center"/>
            <w:hideMark/>
          </w:tcPr>
          <w:p w:rsidR="00134329" w:rsidRPr="008C68F0" w:rsidRDefault="00134329" w:rsidP="0013432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38</w:t>
            </w:r>
          </w:p>
        </w:tc>
        <w:tc>
          <w:tcPr>
            <w:tcW w:w="1644" w:type="dxa"/>
            <w:tcBorders>
              <w:top w:val="nil"/>
              <w:left w:val="nil"/>
              <w:bottom w:val="single" w:sz="8" w:space="0" w:color="auto"/>
              <w:right w:val="single" w:sz="8" w:space="0" w:color="auto"/>
            </w:tcBorders>
            <w:shd w:val="clear" w:color="auto" w:fill="auto"/>
            <w:vAlign w:val="center"/>
            <w:hideMark/>
          </w:tcPr>
          <w:p w:rsidR="00134329" w:rsidRPr="008C68F0" w:rsidRDefault="00134329" w:rsidP="0013432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97%</w:t>
            </w:r>
          </w:p>
        </w:tc>
      </w:tr>
      <w:tr w:rsidR="00134329" w:rsidRPr="008C68F0" w:rsidTr="00134329">
        <w:trPr>
          <w:trHeight w:val="315"/>
        </w:trPr>
        <w:tc>
          <w:tcPr>
            <w:tcW w:w="573" w:type="dxa"/>
            <w:tcBorders>
              <w:top w:val="nil"/>
              <w:left w:val="single" w:sz="8" w:space="0" w:color="auto"/>
              <w:bottom w:val="single" w:sz="8" w:space="0" w:color="auto"/>
              <w:right w:val="single" w:sz="8" w:space="0" w:color="auto"/>
            </w:tcBorders>
            <w:shd w:val="clear" w:color="auto" w:fill="auto"/>
            <w:vAlign w:val="center"/>
            <w:hideMark/>
          </w:tcPr>
          <w:p w:rsidR="00134329" w:rsidRPr="008C68F0" w:rsidRDefault="00134329" w:rsidP="0013432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SPS</w:t>
            </w:r>
          </w:p>
        </w:tc>
        <w:tc>
          <w:tcPr>
            <w:tcW w:w="1644" w:type="dxa"/>
            <w:tcBorders>
              <w:top w:val="nil"/>
              <w:left w:val="nil"/>
              <w:bottom w:val="single" w:sz="8" w:space="0" w:color="auto"/>
              <w:right w:val="single" w:sz="8" w:space="0" w:color="auto"/>
            </w:tcBorders>
            <w:shd w:val="clear" w:color="auto" w:fill="auto"/>
            <w:vAlign w:val="center"/>
            <w:hideMark/>
          </w:tcPr>
          <w:p w:rsidR="00134329" w:rsidRPr="008C68F0" w:rsidRDefault="00134329" w:rsidP="0013432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25</w:t>
            </w:r>
          </w:p>
        </w:tc>
        <w:tc>
          <w:tcPr>
            <w:tcW w:w="1644" w:type="dxa"/>
            <w:tcBorders>
              <w:top w:val="nil"/>
              <w:left w:val="nil"/>
              <w:bottom w:val="single" w:sz="8" w:space="0" w:color="auto"/>
              <w:right w:val="single" w:sz="8" w:space="0" w:color="auto"/>
            </w:tcBorders>
            <w:shd w:val="clear" w:color="auto" w:fill="auto"/>
            <w:vAlign w:val="center"/>
            <w:hideMark/>
          </w:tcPr>
          <w:p w:rsidR="00134329" w:rsidRPr="008C68F0" w:rsidRDefault="00134329" w:rsidP="0013432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1</w:t>
            </w:r>
          </w:p>
        </w:tc>
        <w:tc>
          <w:tcPr>
            <w:tcW w:w="1644" w:type="dxa"/>
            <w:tcBorders>
              <w:top w:val="nil"/>
              <w:left w:val="nil"/>
              <w:bottom w:val="single" w:sz="8" w:space="0" w:color="auto"/>
              <w:right w:val="single" w:sz="8" w:space="0" w:color="auto"/>
            </w:tcBorders>
            <w:shd w:val="clear" w:color="auto" w:fill="auto"/>
            <w:vAlign w:val="center"/>
            <w:hideMark/>
          </w:tcPr>
          <w:p w:rsidR="00134329" w:rsidRPr="008C68F0" w:rsidRDefault="00134329" w:rsidP="0013432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26</w:t>
            </w:r>
          </w:p>
        </w:tc>
        <w:tc>
          <w:tcPr>
            <w:tcW w:w="1644" w:type="dxa"/>
            <w:tcBorders>
              <w:top w:val="nil"/>
              <w:left w:val="nil"/>
              <w:bottom w:val="single" w:sz="8" w:space="0" w:color="auto"/>
              <w:right w:val="single" w:sz="8" w:space="0" w:color="auto"/>
            </w:tcBorders>
            <w:shd w:val="clear" w:color="auto" w:fill="auto"/>
            <w:vAlign w:val="center"/>
            <w:hideMark/>
          </w:tcPr>
          <w:p w:rsidR="00134329" w:rsidRPr="008C68F0" w:rsidRDefault="00134329" w:rsidP="0013432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26</w:t>
            </w:r>
          </w:p>
        </w:tc>
        <w:tc>
          <w:tcPr>
            <w:tcW w:w="1644" w:type="dxa"/>
            <w:tcBorders>
              <w:top w:val="nil"/>
              <w:left w:val="nil"/>
              <w:bottom w:val="single" w:sz="8" w:space="0" w:color="auto"/>
              <w:right w:val="single" w:sz="8" w:space="0" w:color="auto"/>
            </w:tcBorders>
            <w:shd w:val="clear" w:color="auto" w:fill="auto"/>
            <w:vAlign w:val="center"/>
            <w:hideMark/>
          </w:tcPr>
          <w:p w:rsidR="00134329" w:rsidRPr="008C68F0" w:rsidRDefault="00134329" w:rsidP="0013432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100%</w:t>
            </w:r>
          </w:p>
        </w:tc>
      </w:tr>
      <w:tr w:rsidR="00134329" w:rsidRPr="008C68F0" w:rsidTr="00134329">
        <w:trPr>
          <w:trHeight w:val="315"/>
        </w:trPr>
        <w:tc>
          <w:tcPr>
            <w:tcW w:w="573" w:type="dxa"/>
            <w:tcBorders>
              <w:top w:val="nil"/>
              <w:left w:val="single" w:sz="8" w:space="0" w:color="auto"/>
              <w:bottom w:val="single" w:sz="8" w:space="0" w:color="auto"/>
              <w:right w:val="single" w:sz="8" w:space="0" w:color="auto"/>
            </w:tcBorders>
            <w:shd w:val="clear" w:color="auto" w:fill="auto"/>
            <w:vAlign w:val="center"/>
            <w:hideMark/>
          </w:tcPr>
          <w:p w:rsidR="00134329" w:rsidRPr="008C68F0" w:rsidRDefault="00134329" w:rsidP="0013432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SCS</w:t>
            </w:r>
          </w:p>
        </w:tc>
        <w:tc>
          <w:tcPr>
            <w:tcW w:w="1644" w:type="dxa"/>
            <w:tcBorders>
              <w:top w:val="nil"/>
              <w:left w:val="nil"/>
              <w:bottom w:val="single" w:sz="8" w:space="0" w:color="auto"/>
              <w:right w:val="single" w:sz="8" w:space="0" w:color="auto"/>
            </w:tcBorders>
            <w:shd w:val="clear" w:color="auto" w:fill="auto"/>
            <w:vAlign w:val="center"/>
            <w:hideMark/>
          </w:tcPr>
          <w:p w:rsidR="00134329" w:rsidRPr="008C68F0" w:rsidRDefault="00134329" w:rsidP="0013432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109</w:t>
            </w:r>
          </w:p>
        </w:tc>
        <w:tc>
          <w:tcPr>
            <w:tcW w:w="1644" w:type="dxa"/>
            <w:tcBorders>
              <w:top w:val="nil"/>
              <w:left w:val="nil"/>
              <w:bottom w:val="single" w:sz="8" w:space="0" w:color="auto"/>
              <w:right w:val="single" w:sz="8" w:space="0" w:color="auto"/>
            </w:tcBorders>
            <w:shd w:val="clear" w:color="auto" w:fill="auto"/>
            <w:vAlign w:val="center"/>
            <w:hideMark/>
          </w:tcPr>
          <w:p w:rsidR="00134329" w:rsidRPr="008C68F0" w:rsidRDefault="00134329" w:rsidP="0013432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9</w:t>
            </w:r>
          </w:p>
        </w:tc>
        <w:tc>
          <w:tcPr>
            <w:tcW w:w="1644" w:type="dxa"/>
            <w:tcBorders>
              <w:top w:val="nil"/>
              <w:left w:val="nil"/>
              <w:bottom w:val="single" w:sz="8" w:space="0" w:color="auto"/>
              <w:right w:val="single" w:sz="8" w:space="0" w:color="auto"/>
            </w:tcBorders>
            <w:shd w:val="clear" w:color="auto" w:fill="auto"/>
            <w:vAlign w:val="center"/>
            <w:hideMark/>
          </w:tcPr>
          <w:p w:rsidR="00134329" w:rsidRPr="008C68F0" w:rsidRDefault="00134329" w:rsidP="0013432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118</w:t>
            </w:r>
          </w:p>
        </w:tc>
        <w:tc>
          <w:tcPr>
            <w:tcW w:w="1644" w:type="dxa"/>
            <w:tcBorders>
              <w:top w:val="nil"/>
              <w:left w:val="nil"/>
              <w:bottom w:val="single" w:sz="8" w:space="0" w:color="auto"/>
              <w:right w:val="single" w:sz="8" w:space="0" w:color="auto"/>
            </w:tcBorders>
            <w:shd w:val="clear" w:color="auto" w:fill="auto"/>
            <w:vAlign w:val="center"/>
            <w:hideMark/>
          </w:tcPr>
          <w:p w:rsidR="00134329" w:rsidRPr="008C68F0" w:rsidRDefault="00134329" w:rsidP="0013432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112</w:t>
            </w:r>
          </w:p>
        </w:tc>
        <w:tc>
          <w:tcPr>
            <w:tcW w:w="1644" w:type="dxa"/>
            <w:tcBorders>
              <w:top w:val="nil"/>
              <w:left w:val="nil"/>
              <w:bottom w:val="single" w:sz="8" w:space="0" w:color="auto"/>
              <w:right w:val="single" w:sz="8" w:space="0" w:color="auto"/>
            </w:tcBorders>
            <w:shd w:val="clear" w:color="auto" w:fill="auto"/>
            <w:vAlign w:val="center"/>
            <w:hideMark/>
          </w:tcPr>
          <w:p w:rsidR="00134329" w:rsidRPr="008C68F0" w:rsidRDefault="00134329" w:rsidP="00134329">
            <w:pPr>
              <w:spacing w:after="0" w:line="240" w:lineRule="auto"/>
              <w:rPr>
                <w:rFonts w:ascii="Calibri" w:eastAsia="Times New Roman" w:hAnsi="Calibri" w:cs="Calibri"/>
                <w:color w:val="000000"/>
                <w:lang w:eastAsia="en-GB"/>
              </w:rPr>
            </w:pPr>
            <w:r w:rsidRPr="008C68F0">
              <w:rPr>
                <w:rFonts w:ascii="Calibri" w:eastAsia="Times New Roman" w:hAnsi="Calibri" w:cs="Calibri"/>
                <w:color w:val="000000"/>
                <w:lang w:eastAsia="en-GB"/>
              </w:rPr>
              <w:t>95%</w:t>
            </w:r>
          </w:p>
        </w:tc>
      </w:tr>
    </w:tbl>
    <w:p w:rsidR="00134329" w:rsidRPr="008C68F0" w:rsidRDefault="00134329" w:rsidP="00134329">
      <w:r w:rsidRPr="008C68F0">
        <w:t>*Includes 10 observations carried over from the previous year. **6 Incomplete observations to be carried into next year.</w:t>
      </w:r>
    </w:p>
    <w:p w:rsidR="00134329" w:rsidRPr="008C68F0" w:rsidRDefault="00134329" w:rsidP="00134329">
      <w:r w:rsidRPr="008C68F0">
        <w:t>One School attained the Faculty LTA plan target of 100% and t</w:t>
      </w:r>
      <w:r w:rsidR="00695C8A" w:rsidRPr="008C68F0">
        <w:t xml:space="preserve">he </w:t>
      </w:r>
      <w:r w:rsidR="00A44FE8" w:rsidRPr="008C68F0">
        <w:t xml:space="preserve">overall </w:t>
      </w:r>
      <w:r w:rsidR="00351FAD" w:rsidRPr="008C68F0">
        <w:t xml:space="preserve">annual </w:t>
      </w:r>
      <w:r w:rsidR="00A47FBA" w:rsidRPr="008C68F0">
        <w:t xml:space="preserve">Faculty </w:t>
      </w:r>
      <w:r w:rsidRPr="008C68F0">
        <w:t>observation rate represents an all-time high</w:t>
      </w:r>
      <w:r w:rsidR="00695C8A" w:rsidRPr="008C68F0">
        <w:t xml:space="preserve">. </w:t>
      </w:r>
      <w:r w:rsidR="007F6372" w:rsidRPr="008C68F0">
        <w:t xml:space="preserve"> </w:t>
      </w:r>
      <w:r w:rsidRPr="008C68F0">
        <w:t>This exceptional performance is attributed to</w:t>
      </w:r>
      <w:r w:rsidR="00A42DA1" w:rsidRPr="008C68F0">
        <w:t xml:space="preserve"> FMT-agreed</w:t>
      </w:r>
      <w:r w:rsidRPr="008C68F0">
        <w:t xml:space="preserve"> </w:t>
      </w:r>
      <w:hyperlink r:id="rId9" w:history="1">
        <w:r w:rsidRPr="008C68F0">
          <w:rPr>
            <w:rStyle w:val="Hyperlink"/>
          </w:rPr>
          <w:t>explicit arrangements</w:t>
        </w:r>
      </w:hyperlink>
      <w:r w:rsidRPr="008C68F0">
        <w:t xml:space="preserve"> for </w:t>
      </w:r>
      <w:r w:rsidR="00A42DA1" w:rsidRPr="008C68F0">
        <w:t xml:space="preserve">addressing incomplete observations </w:t>
      </w:r>
      <w:r w:rsidR="00D8738F" w:rsidRPr="008C68F0">
        <w:t>during</w:t>
      </w:r>
      <w:r w:rsidR="00A42DA1" w:rsidRPr="008C68F0">
        <w:t xml:space="preserve"> Semester 2. Notably, the involvement of Directors and Subject Leaders was critical in following-up observations w</w:t>
      </w:r>
      <w:r w:rsidR="009A398F" w:rsidRPr="008C68F0">
        <w:t>h</w:t>
      </w:r>
      <w:r w:rsidR="00A42DA1" w:rsidRPr="008C68F0">
        <w:t xml:space="preserve">ere no scheduled date for the activity had been recorded </w:t>
      </w:r>
      <w:r w:rsidR="00A47FBA" w:rsidRPr="008C68F0">
        <w:t>with</w:t>
      </w:r>
      <w:r w:rsidR="00A42DA1" w:rsidRPr="008C68F0">
        <w:t>in the Faculty’s online declaration tool, introduced</w:t>
      </w:r>
      <w:r w:rsidR="009A398F" w:rsidRPr="008C68F0">
        <w:t xml:space="preserve"> for the first time</w:t>
      </w:r>
      <w:r w:rsidR="00A42DA1" w:rsidRPr="008C68F0">
        <w:t xml:space="preserve"> this year. </w:t>
      </w:r>
    </w:p>
    <w:p w:rsidR="00284E81" w:rsidRPr="008C68F0" w:rsidRDefault="002731ED" w:rsidP="002731ED">
      <w:r w:rsidRPr="008C68F0">
        <w:t xml:space="preserve">Comments from </w:t>
      </w:r>
      <w:r w:rsidR="00D42B77" w:rsidRPr="008C68F0">
        <w:t xml:space="preserve">the </w:t>
      </w:r>
      <w:r w:rsidR="00A42DA1" w:rsidRPr="008C68F0">
        <w:t>nine</w:t>
      </w:r>
      <w:r w:rsidRPr="008C68F0">
        <w:t xml:space="preserve"> </w:t>
      </w:r>
      <w:r w:rsidR="00D42B77" w:rsidRPr="008C68F0">
        <w:t xml:space="preserve">Faculty </w:t>
      </w:r>
      <w:r w:rsidRPr="008C68F0">
        <w:t>PG</w:t>
      </w:r>
      <w:r w:rsidR="002B4DA6" w:rsidRPr="008C68F0">
        <w:t>C</w:t>
      </w:r>
      <w:r w:rsidRPr="008C68F0">
        <w:t xml:space="preserve">ert observations remain confidential and are not considered here.  </w:t>
      </w:r>
      <w:r w:rsidR="00E502A8" w:rsidRPr="008C68F0">
        <w:t>Almost 10,000</w:t>
      </w:r>
      <w:r w:rsidR="002318C8" w:rsidRPr="008C68F0">
        <w:rPr>
          <w:color w:val="FF0000"/>
        </w:rPr>
        <w:t xml:space="preserve"> </w:t>
      </w:r>
      <w:r w:rsidR="002318C8" w:rsidRPr="008C68F0">
        <w:t>words of c</w:t>
      </w:r>
      <w:r w:rsidR="00284E81" w:rsidRPr="008C68F0">
        <w:t xml:space="preserve">omments </w:t>
      </w:r>
      <w:r w:rsidR="002318C8" w:rsidRPr="008C68F0">
        <w:t xml:space="preserve">have been </w:t>
      </w:r>
      <w:r w:rsidR="00284E81" w:rsidRPr="008C68F0">
        <w:t>c</w:t>
      </w:r>
      <w:r w:rsidR="00D5467A" w:rsidRPr="008C68F0">
        <w:t xml:space="preserve">ollated from </w:t>
      </w:r>
      <w:r w:rsidR="00D3049F" w:rsidRPr="008C68F0">
        <w:t>109</w:t>
      </w:r>
      <w:r w:rsidRPr="008C68F0">
        <w:t xml:space="preserve"> Faculty observation </w:t>
      </w:r>
      <w:r w:rsidR="00D5467A" w:rsidRPr="008C68F0">
        <w:t>form</w:t>
      </w:r>
      <w:r w:rsidRPr="008C68F0">
        <w:t>s</w:t>
      </w:r>
      <w:r w:rsidR="008B0F53" w:rsidRPr="008C68F0">
        <w:t>.</w:t>
      </w:r>
    </w:p>
    <w:p w:rsidR="00E06484" w:rsidRPr="008C68F0" w:rsidRDefault="00192EAD" w:rsidP="0017198E">
      <w:pPr>
        <w:pStyle w:val="Heading2"/>
      </w:pPr>
      <w:r w:rsidRPr="008C68F0">
        <w:t>Issues beyond control of observe</w:t>
      </w:r>
      <w:r w:rsidR="00D02C4F" w:rsidRPr="008C68F0">
        <w:t>e</w:t>
      </w:r>
      <w:r w:rsidR="008C78CE" w:rsidRPr="008C68F0">
        <w:t xml:space="preserve"> </w:t>
      </w:r>
    </w:p>
    <w:p w:rsidR="00E06484" w:rsidRPr="008C68F0" w:rsidRDefault="00A47FBA" w:rsidP="003E4115">
      <w:pPr>
        <w:spacing w:before="40" w:after="40"/>
      </w:pPr>
      <w:r w:rsidRPr="008C68F0">
        <w:t xml:space="preserve">The full set of issues are listed in the </w:t>
      </w:r>
      <w:hyperlink r:id="rId10" w:history="1">
        <w:r w:rsidRPr="008C68F0">
          <w:rPr>
            <w:rStyle w:val="Hyperlink"/>
          </w:rPr>
          <w:t>Appendices</w:t>
        </w:r>
      </w:hyperlink>
      <w:r w:rsidR="006131D5" w:rsidRPr="008C68F0">
        <w:t xml:space="preserve"> a</w:t>
      </w:r>
      <w:r w:rsidRPr="008C68F0">
        <w:t>nd are a</w:t>
      </w:r>
      <w:r w:rsidR="006131D5" w:rsidRPr="008C68F0">
        <w:t>ssigned to</w:t>
      </w:r>
      <w:r w:rsidR="007F6372" w:rsidRPr="008C68F0">
        <w:t xml:space="preserve"> </w:t>
      </w:r>
      <w:r w:rsidR="000B22C6" w:rsidRPr="008C68F0">
        <w:t>six</w:t>
      </w:r>
      <w:r w:rsidR="006131D5" w:rsidRPr="008C68F0">
        <w:t xml:space="preserve"> identified</w:t>
      </w:r>
      <w:r w:rsidR="007F6372" w:rsidRPr="008C68F0">
        <w:t xml:space="preserve"> themes</w:t>
      </w:r>
      <w:r w:rsidRPr="008C68F0">
        <w:t>,</w:t>
      </w:r>
      <w:r w:rsidR="007F6372" w:rsidRPr="008C68F0">
        <w:t xml:space="preserve"> the proportion of sessions reporting an issue </w:t>
      </w:r>
      <w:r w:rsidRPr="008C68F0">
        <w:t>being</w:t>
      </w:r>
      <w:r w:rsidR="007F6372" w:rsidRPr="008C68F0">
        <w:t xml:space="preserve"> shown</w:t>
      </w:r>
      <w:r w:rsidRPr="008C68F0">
        <w:t xml:space="preserve"> below</w:t>
      </w:r>
      <w:r w:rsidR="007F6372" w:rsidRPr="008C68F0">
        <w:t xml:space="preserve"> (with last year’s figure in brackets).  </w:t>
      </w:r>
      <w:r w:rsidR="00D3049F" w:rsidRPr="008C68F0">
        <w:t>For the first time since this this style of reporting was adopt</w:t>
      </w:r>
      <w:r w:rsidR="00D310E3" w:rsidRPr="008C68F0">
        <w:t>ed</w:t>
      </w:r>
      <w:r w:rsidR="00D3049F" w:rsidRPr="008C68F0">
        <w:t xml:space="preserve"> three years ago</w:t>
      </w:r>
      <w:r w:rsidR="007F6372" w:rsidRPr="008C68F0">
        <w:t xml:space="preserve">, issues </w:t>
      </w:r>
      <w:r w:rsidR="00E06484" w:rsidRPr="008C68F0">
        <w:t xml:space="preserve">were reported in </w:t>
      </w:r>
      <w:r w:rsidR="00D3049F" w:rsidRPr="008C68F0">
        <w:t xml:space="preserve">the majority of </w:t>
      </w:r>
      <w:r w:rsidR="00E06484" w:rsidRPr="008C68F0">
        <w:t>sessions</w:t>
      </w:r>
      <w:r w:rsidR="00D3049F" w:rsidRPr="008C68F0">
        <w:t>; 54% (35%)</w:t>
      </w:r>
      <w:r w:rsidR="007F6372" w:rsidRPr="008C68F0">
        <w:t>.</w:t>
      </w:r>
      <w:r w:rsidR="00E06484" w:rsidRPr="008C68F0">
        <w:t xml:space="preserve"> </w:t>
      </w:r>
    </w:p>
    <w:p w:rsidR="00E06484" w:rsidRPr="008C68F0" w:rsidRDefault="00E06484" w:rsidP="003E4115">
      <w:pPr>
        <w:pStyle w:val="ListParagraph"/>
        <w:numPr>
          <w:ilvl w:val="0"/>
          <w:numId w:val="2"/>
        </w:numPr>
        <w:spacing w:before="40" w:after="40"/>
        <w:ind w:left="360"/>
      </w:pPr>
      <w:r w:rsidRPr="008C68F0">
        <w:t>Noise</w:t>
      </w:r>
      <w:r w:rsidR="007F6372" w:rsidRPr="008C68F0">
        <w:t>,</w:t>
      </w:r>
      <w:r w:rsidRPr="008C68F0">
        <w:t xml:space="preserve"> </w:t>
      </w:r>
      <w:r w:rsidR="0091007F" w:rsidRPr="008C68F0">
        <w:t>5</w:t>
      </w:r>
      <w:r w:rsidR="007F6372" w:rsidRPr="008C68F0">
        <w:t xml:space="preserve">% </w:t>
      </w:r>
      <w:r w:rsidRPr="008C68F0">
        <w:t>(</w:t>
      </w:r>
      <w:r w:rsidR="000B22C6" w:rsidRPr="008C68F0">
        <w:t>5</w:t>
      </w:r>
      <w:r w:rsidRPr="008C68F0">
        <w:t>%): Reported to Estates</w:t>
      </w:r>
    </w:p>
    <w:p w:rsidR="007F6372" w:rsidRPr="008C68F0" w:rsidRDefault="007F6372" w:rsidP="007F6372">
      <w:pPr>
        <w:spacing w:before="40" w:after="40"/>
        <w:rPr>
          <w:i/>
        </w:rPr>
      </w:pPr>
      <w:r w:rsidRPr="008C68F0">
        <w:t xml:space="preserve">e.g. </w:t>
      </w:r>
      <w:r w:rsidR="000B22C6" w:rsidRPr="008C68F0">
        <w:t>BS/329</w:t>
      </w:r>
      <w:r w:rsidR="000B22C6" w:rsidRPr="008C68F0">
        <w:rPr>
          <w:i/>
        </w:rPr>
        <w:t xml:space="preserve">: </w:t>
      </w:r>
      <w:r w:rsidR="00672D42" w:rsidRPr="008C68F0">
        <w:rPr>
          <w:i/>
        </w:rPr>
        <w:t>“</w:t>
      </w:r>
      <w:r w:rsidR="000B22C6" w:rsidRPr="008C68F0">
        <w:rPr>
          <w:i/>
        </w:rPr>
        <w:t>Air conditioning was quite loud. X had to raise his voice above this (the room would not usually require a microphone).”</w:t>
      </w:r>
    </w:p>
    <w:p w:rsidR="000B22C6" w:rsidRPr="008C68F0" w:rsidRDefault="000B22C6" w:rsidP="000B22C6">
      <w:pPr>
        <w:pStyle w:val="ListParagraph"/>
        <w:numPr>
          <w:ilvl w:val="0"/>
          <w:numId w:val="2"/>
        </w:numPr>
        <w:spacing w:before="40" w:after="40"/>
        <w:ind w:left="360"/>
      </w:pPr>
      <w:r w:rsidRPr="008C68F0">
        <w:t>Lighting, 2% (0%): Reported to Estates</w:t>
      </w:r>
    </w:p>
    <w:p w:rsidR="000B22C6" w:rsidRPr="008C68F0" w:rsidRDefault="000B22C6" w:rsidP="000B22C6">
      <w:pPr>
        <w:spacing w:before="40" w:after="40"/>
        <w:rPr>
          <w:i/>
        </w:rPr>
      </w:pPr>
      <w:r w:rsidRPr="008C68F0">
        <w:t xml:space="preserve">e.g. </w:t>
      </w:r>
      <w:r w:rsidR="00672D42" w:rsidRPr="008C68F0">
        <w:t xml:space="preserve">BS/137: </w:t>
      </w:r>
      <w:r w:rsidR="00672D42" w:rsidRPr="008C68F0">
        <w:rPr>
          <w:i/>
        </w:rPr>
        <w:t>“Lighting level in the student section was too low”</w:t>
      </w:r>
    </w:p>
    <w:p w:rsidR="00E06484" w:rsidRPr="008C68F0" w:rsidRDefault="00E06484" w:rsidP="003E4115">
      <w:pPr>
        <w:pStyle w:val="ListParagraph"/>
        <w:numPr>
          <w:ilvl w:val="0"/>
          <w:numId w:val="2"/>
        </w:numPr>
        <w:spacing w:before="40" w:after="40"/>
        <w:ind w:left="360"/>
      </w:pPr>
      <w:r w:rsidRPr="008C68F0">
        <w:t>Classroom design</w:t>
      </w:r>
      <w:r w:rsidR="007F6372" w:rsidRPr="008C68F0">
        <w:t>,</w:t>
      </w:r>
      <w:r w:rsidRPr="008C68F0">
        <w:t xml:space="preserve"> </w:t>
      </w:r>
      <w:r w:rsidR="00672D42" w:rsidRPr="008C68F0">
        <w:t>1</w:t>
      </w:r>
      <w:r w:rsidR="008D1E90" w:rsidRPr="008C68F0">
        <w:t>2</w:t>
      </w:r>
      <w:r w:rsidR="007F6372" w:rsidRPr="008C68F0">
        <w:t xml:space="preserve">% </w:t>
      </w:r>
      <w:r w:rsidRPr="008C68F0">
        <w:t>(</w:t>
      </w:r>
      <w:r w:rsidR="00672D42" w:rsidRPr="008C68F0">
        <w:t>6</w:t>
      </w:r>
      <w:r w:rsidRPr="008C68F0">
        <w:t xml:space="preserve">%): </w:t>
      </w:r>
      <w:r w:rsidR="00825C5A" w:rsidRPr="008C68F0">
        <w:t>Reported to Estates</w:t>
      </w:r>
    </w:p>
    <w:p w:rsidR="007F6372" w:rsidRPr="008C68F0" w:rsidRDefault="007F6372" w:rsidP="007F6372">
      <w:pPr>
        <w:spacing w:before="40" w:after="40"/>
        <w:rPr>
          <w:i/>
        </w:rPr>
      </w:pPr>
      <w:r w:rsidRPr="008C68F0">
        <w:t>e.g.</w:t>
      </w:r>
      <w:r w:rsidR="00672D42" w:rsidRPr="008C68F0">
        <w:t xml:space="preserve"> BS/103</w:t>
      </w:r>
      <w:r w:rsidR="00672D42" w:rsidRPr="008C68F0">
        <w:rPr>
          <w:i/>
        </w:rPr>
        <w:t>: “A difficult room to lecture in due to the long / thin design and lack of gradient on the front rows of seats.</w:t>
      </w:r>
      <w:r w:rsidRPr="008C68F0">
        <w:rPr>
          <w:i/>
        </w:rPr>
        <w:t>”</w:t>
      </w:r>
    </w:p>
    <w:p w:rsidR="00825C5A" w:rsidRPr="008C68F0" w:rsidRDefault="00825C5A" w:rsidP="007F6372">
      <w:pPr>
        <w:pStyle w:val="ListParagraph"/>
        <w:numPr>
          <w:ilvl w:val="0"/>
          <w:numId w:val="2"/>
        </w:numPr>
        <w:spacing w:before="40" w:after="40"/>
        <w:ind w:left="357" w:hanging="357"/>
      </w:pPr>
      <w:r w:rsidRPr="008C68F0">
        <w:t>Temperature</w:t>
      </w:r>
      <w:r w:rsidR="007F6372" w:rsidRPr="008C68F0">
        <w:t>,</w:t>
      </w:r>
      <w:r w:rsidRPr="008C68F0">
        <w:t xml:space="preserve"> </w:t>
      </w:r>
      <w:r w:rsidR="007F6372" w:rsidRPr="008C68F0">
        <w:t>1</w:t>
      </w:r>
      <w:r w:rsidR="00672D42" w:rsidRPr="008C68F0">
        <w:t>3</w:t>
      </w:r>
      <w:r w:rsidR="007F6372" w:rsidRPr="008C68F0">
        <w:t xml:space="preserve">% </w:t>
      </w:r>
      <w:r w:rsidRPr="008C68F0">
        <w:t>(</w:t>
      </w:r>
      <w:r w:rsidR="00672D42" w:rsidRPr="008C68F0">
        <w:t>10</w:t>
      </w:r>
      <w:r w:rsidRPr="008C68F0">
        <w:t>%): Reported to Estates</w:t>
      </w:r>
    </w:p>
    <w:p w:rsidR="00672D42" w:rsidRPr="008C68F0" w:rsidRDefault="007F6372" w:rsidP="00672D42">
      <w:pPr>
        <w:rPr>
          <w:i/>
        </w:rPr>
      </w:pPr>
      <w:r w:rsidRPr="008C68F0">
        <w:t xml:space="preserve">e.g. </w:t>
      </w:r>
      <w:r w:rsidR="00672D42" w:rsidRPr="008C68F0">
        <w:t xml:space="preserve"> Marybone Lecture Theatre: </w:t>
      </w:r>
      <w:r w:rsidR="00672D42" w:rsidRPr="008C68F0">
        <w:rPr>
          <w:i/>
        </w:rPr>
        <w:t>“Temperature of the room (too high), students would find it difficult to concentrate for full session.”</w:t>
      </w:r>
    </w:p>
    <w:p w:rsidR="006A10C6" w:rsidRPr="008C68F0" w:rsidRDefault="00825C5A" w:rsidP="00936970">
      <w:pPr>
        <w:pStyle w:val="ListParagraph"/>
        <w:numPr>
          <w:ilvl w:val="0"/>
          <w:numId w:val="2"/>
        </w:numPr>
        <w:spacing w:before="40" w:after="40"/>
        <w:ind w:left="360"/>
        <w:rPr>
          <w:i/>
        </w:rPr>
      </w:pPr>
      <w:r w:rsidRPr="008C68F0">
        <w:t>Anthropogenic</w:t>
      </w:r>
      <w:r w:rsidR="007F6372" w:rsidRPr="008C68F0">
        <w:t>,</w:t>
      </w:r>
      <w:r w:rsidRPr="008C68F0">
        <w:t xml:space="preserve"> </w:t>
      </w:r>
      <w:r w:rsidR="006A10C6" w:rsidRPr="008C68F0">
        <w:t>3</w:t>
      </w:r>
      <w:r w:rsidR="007F6372" w:rsidRPr="008C68F0">
        <w:t xml:space="preserve">% </w:t>
      </w:r>
      <w:r w:rsidRPr="008C68F0">
        <w:t>(</w:t>
      </w:r>
      <w:r w:rsidR="007F6372" w:rsidRPr="008C68F0">
        <w:t>3</w:t>
      </w:r>
      <w:r w:rsidRPr="008C68F0">
        <w:t>%)</w:t>
      </w:r>
      <w:r w:rsidR="008F72F2" w:rsidRPr="008C68F0">
        <w:t xml:space="preserve">: </w:t>
      </w:r>
    </w:p>
    <w:p w:rsidR="007F6372" w:rsidRPr="008C68F0" w:rsidRDefault="006A10C6" w:rsidP="006A10C6">
      <w:pPr>
        <w:spacing w:before="40" w:after="40"/>
        <w:rPr>
          <w:i/>
        </w:rPr>
      </w:pPr>
      <w:r w:rsidRPr="008C68F0">
        <w:t>e.g.</w:t>
      </w:r>
      <w:r w:rsidRPr="008C68F0">
        <w:rPr>
          <w:i/>
        </w:rPr>
        <w:t xml:space="preserve"> </w:t>
      </w:r>
      <w:r w:rsidRPr="008C68F0">
        <w:t>Peter Jost ULT:</w:t>
      </w:r>
      <w:r w:rsidRPr="008C68F0">
        <w:rPr>
          <w:i/>
        </w:rPr>
        <w:t xml:space="preserve"> “Late arrival of many students, reason unknown</w:t>
      </w:r>
      <w:r w:rsidR="007F6372" w:rsidRPr="008C68F0">
        <w:rPr>
          <w:i/>
        </w:rPr>
        <w:t>.</w:t>
      </w:r>
      <w:r w:rsidR="006131D5" w:rsidRPr="008C68F0">
        <w:rPr>
          <w:i/>
        </w:rPr>
        <w:t>”</w:t>
      </w:r>
    </w:p>
    <w:p w:rsidR="00825C5A" w:rsidRPr="008C68F0" w:rsidRDefault="00825C5A" w:rsidP="007F6372">
      <w:pPr>
        <w:pStyle w:val="ListParagraph"/>
        <w:numPr>
          <w:ilvl w:val="0"/>
          <w:numId w:val="2"/>
        </w:numPr>
        <w:spacing w:before="40" w:after="40"/>
        <w:ind w:left="357" w:hanging="357"/>
      </w:pPr>
      <w:r w:rsidRPr="008C68F0">
        <w:t>Timetabling</w:t>
      </w:r>
      <w:r w:rsidR="00D67305" w:rsidRPr="008C68F0">
        <w:t>,</w:t>
      </w:r>
      <w:r w:rsidRPr="008C68F0">
        <w:t xml:space="preserve"> </w:t>
      </w:r>
      <w:r w:rsidR="0095298B" w:rsidRPr="008C68F0">
        <w:t>1</w:t>
      </w:r>
      <w:r w:rsidR="008D1E90" w:rsidRPr="008C68F0">
        <w:t>2</w:t>
      </w:r>
      <w:r w:rsidR="00D67305" w:rsidRPr="008C68F0">
        <w:t xml:space="preserve">% </w:t>
      </w:r>
      <w:r w:rsidRPr="008C68F0">
        <w:t>(</w:t>
      </w:r>
      <w:r w:rsidR="0095298B" w:rsidRPr="008C68F0">
        <w:t>6</w:t>
      </w:r>
      <w:r w:rsidRPr="008C68F0">
        <w:t>%)</w:t>
      </w:r>
      <w:r w:rsidR="009404E1" w:rsidRPr="008C68F0">
        <w:t xml:space="preserve"> Reported to SCS Timetabling officer</w:t>
      </w:r>
    </w:p>
    <w:p w:rsidR="00D67305" w:rsidRPr="008C68F0" w:rsidRDefault="00D67305" w:rsidP="00D67305">
      <w:pPr>
        <w:spacing w:before="40" w:after="40"/>
        <w:rPr>
          <w:i/>
        </w:rPr>
      </w:pPr>
      <w:r w:rsidRPr="008C68F0">
        <w:t xml:space="preserve">e.g. </w:t>
      </w:r>
      <w:r w:rsidR="0095298B" w:rsidRPr="008C68F0">
        <w:t xml:space="preserve">BS/307 </w:t>
      </w:r>
      <w:r w:rsidR="0095298B" w:rsidRPr="008C68F0">
        <w:rPr>
          <w:i/>
        </w:rPr>
        <w:t>“[this] is a tiered lecture theatre – a non-fixed furniture classroom may have worked better for student’s group discussion session.”</w:t>
      </w:r>
    </w:p>
    <w:p w:rsidR="00825C5A" w:rsidRPr="008C68F0" w:rsidRDefault="00825C5A" w:rsidP="00D67305">
      <w:pPr>
        <w:pStyle w:val="ListParagraph"/>
        <w:numPr>
          <w:ilvl w:val="0"/>
          <w:numId w:val="2"/>
        </w:numPr>
        <w:spacing w:before="40" w:after="40"/>
        <w:ind w:left="357" w:hanging="357"/>
      </w:pPr>
      <w:r w:rsidRPr="008C68F0">
        <w:t xml:space="preserve">Classroom AV and fittings </w:t>
      </w:r>
      <w:r w:rsidR="00D67305" w:rsidRPr="008C68F0">
        <w:t>1</w:t>
      </w:r>
      <w:r w:rsidR="003A404E" w:rsidRPr="008C68F0">
        <w:t>0</w:t>
      </w:r>
      <w:r w:rsidR="00D67305" w:rsidRPr="008C68F0">
        <w:t xml:space="preserve">%, </w:t>
      </w:r>
      <w:r w:rsidRPr="008C68F0">
        <w:t>(1</w:t>
      </w:r>
      <w:r w:rsidR="00992DB0" w:rsidRPr="008C68F0">
        <w:t>1</w:t>
      </w:r>
      <w:r w:rsidRPr="008C68F0">
        <w:t>%): Reported to Byrom-AV</w:t>
      </w:r>
    </w:p>
    <w:p w:rsidR="00D67305" w:rsidRPr="008C68F0" w:rsidRDefault="00D67305" w:rsidP="003E4115">
      <w:pPr>
        <w:spacing w:before="40" w:after="40"/>
      </w:pPr>
      <w:r w:rsidRPr="008C68F0">
        <w:t xml:space="preserve">e.g. </w:t>
      </w:r>
      <w:r w:rsidR="003A404E" w:rsidRPr="008C68F0">
        <w:t>BS/102: “AV stand lacked HDMI input port while most others in this building seem to have them – the tutor had to run and get an adaptor which was fine as they were early, but consistent AV units across teaching rooms would help tutors be prepared.”</w:t>
      </w:r>
    </w:p>
    <w:p w:rsidR="00761099" w:rsidRPr="008C68F0" w:rsidRDefault="001A663A" w:rsidP="003E4115">
      <w:pPr>
        <w:spacing w:before="40" w:after="40"/>
      </w:pPr>
      <w:r w:rsidRPr="008C68F0">
        <w:t>An initial response has been received from all contacted</w:t>
      </w:r>
      <w:r w:rsidR="00761099" w:rsidRPr="008C68F0">
        <w:t xml:space="preserve"> teams:</w:t>
      </w:r>
    </w:p>
    <w:p w:rsidR="00761099" w:rsidRPr="008C68F0" w:rsidRDefault="00761099" w:rsidP="00761099">
      <w:pPr>
        <w:pStyle w:val="ListParagraph"/>
        <w:numPr>
          <w:ilvl w:val="0"/>
          <w:numId w:val="2"/>
        </w:numPr>
        <w:spacing w:before="40" w:after="40"/>
        <w:ind w:left="357" w:hanging="357"/>
        <w:rPr>
          <w:i/>
        </w:rPr>
      </w:pPr>
      <w:r w:rsidRPr="008C68F0">
        <w:t>Byrom-AV: All the issues that Byrom-AV have control over either have been, or are scheduled to be, resolved.</w:t>
      </w:r>
    </w:p>
    <w:p w:rsidR="00761099" w:rsidRPr="008C68F0" w:rsidRDefault="00761099" w:rsidP="00761099">
      <w:pPr>
        <w:pStyle w:val="ListParagraph"/>
        <w:numPr>
          <w:ilvl w:val="0"/>
          <w:numId w:val="2"/>
        </w:numPr>
        <w:spacing w:before="40" w:after="40"/>
        <w:ind w:left="357" w:hanging="357"/>
        <w:rPr>
          <w:i/>
        </w:rPr>
      </w:pPr>
      <w:r w:rsidRPr="008C68F0">
        <w:t>Estates: Reported that this was “very valuable” feedback. It is being shared with the Capital Projects, Maintenance and Soft FM Teams. Estates will start to review the list, with the expectation that some of the issues will need more investigation and discussion.</w:t>
      </w:r>
    </w:p>
    <w:p w:rsidR="00761099" w:rsidRPr="008C68F0" w:rsidRDefault="00761099" w:rsidP="00761099">
      <w:pPr>
        <w:pStyle w:val="ListParagraph"/>
        <w:numPr>
          <w:ilvl w:val="0"/>
          <w:numId w:val="2"/>
        </w:numPr>
        <w:spacing w:before="40" w:after="40"/>
        <w:ind w:left="357" w:hanging="357"/>
        <w:rPr>
          <w:i/>
        </w:rPr>
      </w:pPr>
      <w:r w:rsidRPr="008C68F0">
        <w:t xml:space="preserve">Timetabling: </w:t>
      </w:r>
      <w:r w:rsidR="00621ADF" w:rsidRPr="008C68F0">
        <w:t>Timetabling and Teaching and Learning Academy to liaise over the best way to address concerns raised</w:t>
      </w:r>
      <w:r w:rsidRPr="008C68F0">
        <w:t>.</w:t>
      </w:r>
    </w:p>
    <w:p w:rsidR="00825C5A" w:rsidRPr="008C68F0" w:rsidRDefault="00CE4F07" w:rsidP="0017198E">
      <w:pPr>
        <w:pStyle w:val="Heading2"/>
      </w:pPr>
      <w:r w:rsidRPr="008C68F0">
        <w:t>Dissemination</w:t>
      </w:r>
      <w:r w:rsidR="004C33E4" w:rsidRPr="008C68F0">
        <w:t xml:space="preserve"> of </w:t>
      </w:r>
      <w:r w:rsidRPr="008C68F0">
        <w:t xml:space="preserve">observed </w:t>
      </w:r>
      <w:r w:rsidR="004C33E4" w:rsidRPr="008C68F0">
        <w:t>good practice</w:t>
      </w:r>
      <w:r w:rsidRPr="008C68F0">
        <w:t>s</w:t>
      </w:r>
      <w:r w:rsidR="004C33E4" w:rsidRPr="008C68F0">
        <w:t xml:space="preserve"> </w:t>
      </w:r>
    </w:p>
    <w:p w:rsidR="00621ADF" w:rsidRPr="008C68F0" w:rsidRDefault="001F3E83" w:rsidP="00621ADF">
      <w:r w:rsidRPr="008C68F0">
        <w:t xml:space="preserve">These were reported in </w:t>
      </w:r>
      <w:r w:rsidR="00CE4F07" w:rsidRPr="008C68F0">
        <w:t>93</w:t>
      </w:r>
      <w:r w:rsidR="00E4162A" w:rsidRPr="008C68F0">
        <w:t xml:space="preserve">% </w:t>
      </w:r>
      <w:r w:rsidR="00AD2F33" w:rsidRPr="008C68F0">
        <w:t>(</w:t>
      </w:r>
      <w:r w:rsidR="00CE4F07" w:rsidRPr="008C68F0">
        <w:t>86</w:t>
      </w:r>
      <w:r w:rsidRPr="008C68F0">
        <w:t>%</w:t>
      </w:r>
      <w:r w:rsidR="00AD2F33" w:rsidRPr="008C68F0">
        <w:t>)</w:t>
      </w:r>
      <w:r w:rsidRPr="008C68F0">
        <w:t xml:space="preserve"> of sessions and </w:t>
      </w:r>
      <w:r w:rsidR="00C249CB" w:rsidRPr="008C68F0">
        <w:t xml:space="preserve">the full set of comments will be redacted over the summer and shared at the next </w:t>
      </w:r>
      <w:r w:rsidR="00E20863" w:rsidRPr="008C68F0">
        <w:t xml:space="preserve">Faculty </w:t>
      </w:r>
      <w:r w:rsidR="00C249CB" w:rsidRPr="008C68F0">
        <w:t xml:space="preserve">annual practice exchange event. </w:t>
      </w:r>
      <w:r w:rsidR="007226AB" w:rsidRPr="008C68F0">
        <w:t xml:space="preserve">In addition, </w:t>
      </w:r>
      <w:r w:rsidR="00A47FBA" w:rsidRPr="008C68F0">
        <w:t xml:space="preserve">redacted comments will ultimately be added to the </w:t>
      </w:r>
      <w:hyperlink r:id="rId11" w:history="1">
        <w:r w:rsidR="00A47FBA" w:rsidRPr="008C68F0">
          <w:rPr>
            <w:rStyle w:val="Hyperlink"/>
          </w:rPr>
          <w:t>Appendices</w:t>
        </w:r>
      </w:hyperlink>
      <w:r w:rsidR="00A47FBA" w:rsidRPr="008C68F0">
        <w:t>.</w:t>
      </w:r>
    </w:p>
    <w:p w:rsidR="00DE238A" w:rsidRPr="008C68F0" w:rsidRDefault="00DE238A" w:rsidP="00621ADF">
      <w:r w:rsidRPr="008C68F0">
        <w:t>N</w:t>
      </w:r>
      <w:r w:rsidR="00E20863" w:rsidRPr="008C68F0">
        <w:t xml:space="preserve">ine staff attended the 2017/18 </w:t>
      </w:r>
      <w:r w:rsidR="00507195" w:rsidRPr="008C68F0">
        <w:t xml:space="preserve">practice exchange </w:t>
      </w:r>
      <w:r w:rsidR="00E20863" w:rsidRPr="008C68F0">
        <w:t xml:space="preserve">event on the morning </w:t>
      </w:r>
      <w:r w:rsidR="00507195" w:rsidRPr="008C68F0">
        <w:t xml:space="preserve">of </w:t>
      </w:r>
      <w:r w:rsidR="00E20863" w:rsidRPr="008C68F0">
        <w:t>Thursday 15</w:t>
      </w:r>
      <w:r w:rsidR="00E20863" w:rsidRPr="008C68F0">
        <w:rPr>
          <w:vertAlign w:val="superscript"/>
        </w:rPr>
        <w:t>th</w:t>
      </w:r>
      <w:r w:rsidR="00E20863" w:rsidRPr="008C68F0">
        <w:t xml:space="preserve"> Sept. Attendance rose to </w:t>
      </w:r>
      <w:r w:rsidR="00507195" w:rsidRPr="008C68F0">
        <w:t>22</w:t>
      </w:r>
      <w:r w:rsidR="00E20863" w:rsidRPr="008C68F0">
        <w:t xml:space="preserve"> for </w:t>
      </w:r>
      <w:r w:rsidR="00507195" w:rsidRPr="008C68F0">
        <w:t>an</w:t>
      </w:r>
      <w:r w:rsidR="00E20863" w:rsidRPr="008C68F0">
        <w:t xml:space="preserve"> external speaker in </w:t>
      </w:r>
      <w:r w:rsidR="00507195" w:rsidRPr="008C68F0">
        <w:t xml:space="preserve">the </w:t>
      </w:r>
      <w:r w:rsidR="00E20863" w:rsidRPr="008C68F0">
        <w:t>afternoon</w:t>
      </w:r>
      <w:r w:rsidR="00507195" w:rsidRPr="008C68F0">
        <w:t xml:space="preserve"> session</w:t>
      </w:r>
      <w:r w:rsidR="00E20863" w:rsidRPr="008C68F0">
        <w:t xml:space="preserve"> after an appeal</w:t>
      </w:r>
      <w:r w:rsidR="00D310E3" w:rsidRPr="008C68F0">
        <w:t xml:space="preserve"> on the day</w:t>
      </w:r>
      <w:r w:rsidR="00E20863" w:rsidRPr="008C68F0">
        <w:t xml:space="preserve">. </w:t>
      </w:r>
      <w:hyperlink r:id="rId12" w:history="1">
        <w:r w:rsidR="00507195" w:rsidRPr="008C68F0">
          <w:rPr>
            <w:rStyle w:val="Hyperlink"/>
          </w:rPr>
          <w:t>Feedback</w:t>
        </w:r>
      </w:hyperlink>
      <w:r w:rsidR="00507195" w:rsidRPr="008C68F0">
        <w:t xml:space="preserve"> on this event was overwhelmingly positive, with </w:t>
      </w:r>
      <w:r w:rsidR="00CA760A" w:rsidRPr="008C68F0">
        <w:t>12</w:t>
      </w:r>
      <w:r w:rsidR="00507195" w:rsidRPr="008C68F0">
        <w:t xml:space="preserve"> respondents expressing 100% satisfaction</w:t>
      </w:r>
      <w:r w:rsidRPr="008C68F0">
        <w:t xml:space="preserve"> and </w:t>
      </w:r>
      <w:r w:rsidR="00E955AE" w:rsidRPr="008C68F0">
        <w:t>the event</w:t>
      </w:r>
      <w:r w:rsidRPr="008C68F0">
        <w:t xml:space="preserve"> led to the setting up of the </w:t>
      </w:r>
      <w:r w:rsidR="00E955AE" w:rsidRPr="008C68F0">
        <w:t>PowerP</w:t>
      </w:r>
      <w:r w:rsidRPr="008C68F0">
        <w:t>oint-Teaching project led by attendee Becky Murphy.</w:t>
      </w:r>
    </w:p>
    <w:p w:rsidR="00DE238A" w:rsidRPr="008C68F0" w:rsidRDefault="00DE238A" w:rsidP="00DE238A">
      <w:pPr>
        <w:spacing w:before="40" w:after="40"/>
        <w:ind w:left="567"/>
        <w:rPr>
          <w:i/>
        </w:rPr>
      </w:pPr>
      <w:r w:rsidRPr="008C68F0">
        <w:rPr>
          <w:i/>
        </w:rPr>
        <w:t>“It was great to have the opportunity to hear about colleague's ideas and experiences to optimise the teaching and learning experience at LJMU.”</w:t>
      </w:r>
    </w:p>
    <w:p w:rsidR="00DE238A" w:rsidRPr="008C68F0" w:rsidRDefault="00DE238A" w:rsidP="00621ADF">
      <w:pPr>
        <w:spacing w:before="40" w:after="40"/>
        <w:jc w:val="right"/>
      </w:pPr>
      <w:r w:rsidRPr="008C68F0">
        <w:t xml:space="preserve">Practice exchange </w:t>
      </w:r>
      <w:r w:rsidR="00D310E3" w:rsidRPr="008C68F0">
        <w:t>survey respondent</w:t>
      </w:r>
    </w:p>
    <w:p w:rsidR="007226AB" w:rsidRPr="008C68F0" w:rsidRDefault="00DE238A" w:rsidP="0083349D">
      <w:pPr>
        <w:spacing w:before="40" w:after="40"/>
      </w:pPr>
      <w:r w:rsidRPr="008C68F0">
        <w:t xml:space="preserve">Attendees suggested that more time should made available to view good practice comments from the 2016/17 observation scheme (that were printed on posters around the room). This will be incorporated into </w:t>
      </w:r>
      <w:r w:rsidR="00E955AE" w:rsidRPr="008C68F0">
        <w:t>t</w:t>
      </w:r>
      <w:r w:rsidRPr="008C68F0">
        <w:t>he 201</w:t>
      </w:r>
      <w:r w:rsidR="00A625ED" w:rsidRPr="008C68F0">
        <w:t>8</w:t>
      </w:r>
      <w:r w:rsidRPr="008C68F0">
        <w:t>/1</w:t>
      </w:r>
      <w:r w:rsidR="00A625ED" w:rsidRPr="008C68F0">
        <w:t>9</w:t>
      </w:r>
      <w:r w:rsidRPr="008C68F0">
        <w:t xml:space="preserve"> event. </w:t>
      </w:r>
      <w:r w:rsidR="00A625ED" w:rsidRPr="008C68F0">
        <w:t>Survey respondents also acknowledge</w:t>
      </w:r>
      <w:r w:rsidR="00E955AE" w:rsidRPr="008C68F0">
        <w:t>d</w:t>
      </w:r>
      <w:r w:rsidR="00A625ED" w:rsidRPr="008C68F0">
        <w:t xml:space="preserve"> that </w:t>
      </w:r>
      <w:r w:rsidRPr="008C68F0">
        <w:t>the session would have been better if</w:t>
      </w:r>
      <w:r w:rsidR="00A625ED" w:rsidRPr="008C68F0">
        <w:t xml:space="preserve"> more staff had attended. Given the very low attendance (less than 5% of those eligible), t</w:t>
      </w:r>
      <w:r w:rsidR="00507195" w:rsidRPr="008C68F0">
        <w:t xml:space="preserve">he ADE subsequently surveyed </w:t>
      </w:r>
      <w:r w:rsidR="00A625ED" w:rsidRPr="008C68F0">
        <w:t>all SCS staff and outcomes from 88 respondents were reported t</w:t>
      </w:r>
      <w:r w:rsidR="00E955AE" w:rsidRPr="008C68F0">
        <w:t>o FMT:</w:t>
      </w:r>
    </w:p>
    <w:p w:rsidR="00A625ED" w:rsidRPr="008C68F0" w:rsidRDefault="00A625ED" w:rsidP="0083349D">
      <w:pPr>
        <w:spacing w:before="40" w:after="40"/>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3"/>
        <w:gridCol w:w="964"/>
        <w:gridCol w:w="964"/>
      </w:tblGrid>
      <w:tr w:rsidR="00A625ED" w:rsidRPr="008C68F0" w:rsidTr="00955B53">
        <w:tc>
          <w:tcPr>
            <w:tcW w:w="6973" w:type="dxa"/>
            <w:tcBorders>
              <w:bottom w:val="single" w:sz="4" w:space="0" w:color="auto"/>
            </w:tcBorders>
          </w:tcPr>
          <w:p w:rsidR="00A625ED" w:rsidRPr="008C68F0" w:rsidRDefault="00A625ED" w:rsidP="00CC61C7">
            <w:pPr>
              <w:spacing w:before="20" w:after="20"/>
            </w:pPr>
            <w:r w:rsidRPr="008C68F0">
              <w:t>Reason</w:t>
            </w:r>
            <w:r w:rsidR="00E955AE" w:rsidRPr="008C68F0">
              <w:t xml:space="preserve"> for absence</w:t>
            </w:r>
          </w:p>
        </w:tc>
        <w:tc>
          <w:tcPr>
            <w:tcW w:w="964" w:type="dxa"/>
            <w:tcBorders>
              <w:bottom w:val="single" w:sz="4" w:space="0" w:color="auto"/>
            </w:tcBorders>
          </w:tcPr>
          <w:p w:rsidR="00A625ED" w:rsidRPr="008C68F0" w:rsidRDefault="00A625ED" w:rsidP="00CC61C7">
            <w:pPr>
              <w:spacing w:before="20" w:after="20"/>
            </w:pPr>
            <w:r w:rsidRPr="008C68F0">
              <w:t>n</w:t>
            </w:r>
          </w:p>
        </w:tc>
        <w:tc>
          <w:tcPr>
            <w:tcW w:w="964" w:type="dxa"/>
            <w:tcBorders>
              <w:bottom w:val="single" w:sz="4" w:space="0" w:color="auto"/>
            </w:tcBorders>
          </w:tcPr>
          <w:p w:rsidR="00A625ED" w:rsidRPr="008C68F0" w:rsidRDefault="00A625ED" w:rsidP="00CC61C7">
            <w:pPr>
              <w:spacing w:before="20" w:after="20"/>
            </w:pPr>
            <w:r w:rsidRPr="008C68F0">
              <w:t>%</w:t>
            </w:r>
          </w:p>
        </w:tc>
      </w:tr>
      <w:tr w:rsidR="00A625ED" w:rsidRPr="008C68F0" w:rsidTr="00955B53">
        <w:tc>
          <w:tcPr>
            <w:tcW w:w="6973" w:type="dxa"/>
            <w:tcBorders>
              <w:top w:val="single" w:sz="4" w:space="0" w:color="auto"/>
            </w:tcBorders>
          </w:tcPr>
          <w:p w:rsidR="00A625ED" w:rsidRPr="008C68F0" w:rsidRDefault="00A625ED" w:rsidP="00CC61C7">
            <w:pPr>
              <w:spacing w:before="20" w:after="20"/>
            </w:pPr>
            <w:r w:rsidRPr="008C68F0">
              <w:t>I did not have the time to devote to it*</w:t>
            </w:r>
          </w:p>
        </w:tc>
        <w:tc>
          <w:tcPr>
            <w:tcW w:w="964" w:type="dxa"/>
            <w:tcBorders>
              <w:top w:val="single" w:sz="4" w:space="0" w:color="auto"/>
            </w:tcBorders>
          </w:tcPr>
          <w:p w:rsidR="00A625ED" w:rsidRPr="008C68F0" w:rsidRDefault="00A625ED" w:rsidP="00CC61C7">
            <w:pPr>
              <w:spacing w:before="20" w:after="20"/>
            </w:pPr>
            <w:r w:rsidRPr="008C68F0">
              <w:t>45</w:t>
            </w:r>
          </w:p>
        </w:tc>
        <w:tc>
          <w:tcPr>
            <w:tcW w:w="964" w:type="dxa"/>
            <w:tcBorders>
              <w:top w:val="single" w:sz="4" w:space="0" w:color="auto"/>
            </w:tcBorders>
          </w:tcPr>
          <w:p w:rsidR="00A625ED" w:rsidRPr="008C68F0" w:rsidRDefault="00A625ED" w:rsidP="00CC61C7">
            <w:pPr>
              <w:spacing w:before="20" w:after="20"/>
            </w:pPr>
            <w:r w:rsidRPr="008C68F0">
              <w:t>53</w:t>
            </w:r>
          </w:p>
        </w:tc>
      </w:tr>
      <w:tr w:rsidR="00A625ED" w:rsidRPr="008C68F0" w:rsidTr="00955B53">
        <w:tc>
          <w:tcPr>
            <w:tcW w:w="6973" w:type="dxa"/>
          </w:tcPr>
          <w:p w:rsidR="00A625ED" w:rsidRPr="008C68F0" w:rsidRDefault="00A625ED" w:rsidP="00CC61C7">
            <w:pPr>
              <w:spacing w:before="20" w:after="20"/>
            </w:pPr>
            <w:r w:rsidRPr="008C68F0">
              <w:t>I needed to work off-site on 15/9/17*</w:t>
            </w:r>
          </w:p>
        </w:tc>
        <w:tc>
          <w:tcPr>
            <w:tcW w:w="964" w:type="dxa"/>
          </w:tcPr>
          <w:p w:rsidR="00A625ED" w:rsidRPr="008C68F0" w:rsidRDefault="00A625ED" w:rsidP="00CC61C7">
            <w:pPr>
              <w:spacing w:before="20" w:after="20"/>
            </w:pPr>
            <w:r w:rsidRPr="008C68F0">
              <w:t>11</w:t>
            </w:r>
          </w:p>
        </w:tc>
        <w:tc>
          <w:tcPr>
            <w:tcW w:w="964" w:type="dxa"/>
          </w:tcPr>
          <w:p w:rsidR="00A625ED" w:rsidRPr="008C68F0" w:rsidRDefault="00A625ED" w:rsidP="00CC61C7">
            <w:pPr>
              <w:spacing w:before="20" w:after="20"/>
            </w:pPr>
            <w:r w:rsidRPr="008C68F0">
              <w:t>13</w:t>
            </w:r>
          </w:p>
        </w:tc>
      </w:tr>
      <w:tr w:rsidR="00A625ED" w:rsidRPr="008C68F0" w:rsidTr="00955B53">
        <w:tc>
          <w:tcPr>
            <w:tcW w:w="6973" w:type="dxa"/>
          </w:tcPr>
          <w:p w:rsidR="00A625ED" w:rsidRPr="008C68F0" w:rsidRDefault="00A625ED" w:rsidP="00CC61C7">
            <w:pPr>
              <w:spacing w:before="20" w:after="20"/>
            </w:pPr>
            <w:r w:rsidRPr="008C68F0">
              <w:t>N/A I did attend*</w:t>
            </w:r>
          </w:p>
        </w:tc>
        <w:tc>
          <w:tcPr>
            <w:tcW w:w="964" w:type="dxa"/>
          </w:tcPr>
          <w:p w:rsidR="00A625ED" w:rsidRPr="008C68F0" w:rsidRDefault="00A625ED" w:rsidP="00CC61C7">
            <w:pPr>
              <w:spacing w:before="20" w:after="20"/>
            </w:pPr>
            <w:r w:rsidRPr="008C68F0">
              <w:t>11</w:t>
            </w:r>
          </w:p>
        </w:tc>
        <w:tc>
          <w:tcPr>
            <w:tcW w:w="964" w:type="dxa"/>
          </w:tcPr>
          <w:p w:rsidR="00A625ED" w:rsidRPr="008C68F0" w:rsidRDefault="00A625ED" w:rsidP="00CC61C7">
            <w:pPr>
              <w:spacing w:before="20" w:after="20"/>
            </w:pPr>
            <w:r w:rsidRPr="008C68F0">
              <w:t>13</w:t>
            </w:r>
          </w:p>
        </w:tc>
      </w:tr>
      <w:tr w:rsidR="00A625ED" w:rsidRPr="008C68F0" w:rsidTr="00955B53">
        <w:tc>
          <w:tcPr>
            <w:tcW w:w="6973" w:type="dxa"/>
          </w:tcPr>
          <w:p w:rsidR="00A625ED" w:rsidRPr="008C68F0" w:rsidRDefault="00A625ED" w:rsidP="00CC61C7">
            <w:pPr>
              <w:spacing w:before="20" w:after="20"/>
            </w:pPr>
            <w:r w:rsidRPr="008C68F0">
              <w:t>I was on annual leave on 15/9/17</w:t>
            </w:r>
          </w:p>
        </w:tc>
        <w:tc>
          <w:tcPr>
            <w:tcW w:w="964" w:type="dxa"/>
          </w:tcPr>
          <w:p w:rsidR="00A625ED" w:rsidRPr="008C68F0" w:rsidRDefault="00A625ED" w:rsidP="00CC61C7">
            <w:pPr>
              <w:spacing w:before="20" w:after="20"/>
            </w:pPr>
            <w:r w:rsidRPr="008C68F0">
              <w:t>10</w:t>
            </w:r>
          </w:p>
        </w:tc>
        <w:tc>
          <w:tcPr>
            <w:tcW w:w="964" w:type="dxa"/>
          </w:tcPr>
          <w:p w:rsidR="00A625ED" w:rsidRPr="008C68F0" w:rsidRDefault="00A625ED" w:rsidP="00CC61C7">
            <w:pPr>
              <w:spacing w:before="20" w:after="20"/>
            </w:pPr>
            <w:r w:rsidRPr="008C68F0">
              <w:t>12</w:t>
            </w:r>
          </w:p>
        </w:tc>
      </w:tr>
      <w:tr w:rsidR="00A625ED" w:rsidRPr="008C68F0" w:rsidTr="00955B53">
        <w:tc>
          <w:tcPr>
            <w:tcW w:w="6973" w:type="dxa"/>
          </w:tcPr>
          <w:p w:rsidR="00A625ED" w:rsidRPr="008C68F0" w:rsidRDefault="00A625ED" w:rsidP="00CC61C7">
            <w:pPr>
              <w:spacing w:before="20" w:after="20"/>
            </w:pPr>
            <w:r w:rsidRPr="008C68F0">
              <w:t>The event clashed with another meeting*</w:t>
            </w:r>
          </w:p>
        </w:tc>
        <w:tc>
          <w:tcPr>
            <w:tcW w:w="964" w:type="dxa"/>
          </w:tcPr>
          <w:p w:rsidR="00A625ED" w:rsidRPr="008C68F0" w:rsidRDefault="00A625ED" w:rsidP="00CC61C7">
            <w:pPr>
              <w:spacing w:before="20" w:after="20"/>
            </w:pPr>
            <w:r w:rsidRPr="008C68F0">
              <w:t>8</w:t>
            </w:r>
          </w:p>
        </w:tc>
        <w:tc>
          <w:tcPr>
            <w:tcW w:w="964" w:type="dxa"/>
          </w:tcPr>
          <w:p w:rsidR="00A625ED" w:rsidRPr="008C68F0" w:rsidRDefault="00A625ED" w:rsidP="00CC61C7">
            <w:pPr>
              <w:spacing w:before="20" w:after="20"/>
            </w:pPr>
            <w:r w:rsidRPr="008C68F0">
              <w:t>9</w:t>
            </w:r>
          </w:p>
        </w:tc>
      </w:tr>
      <w:tr w:rsidR="00A625ED" w:rsidRPr="008C68F0" w:rsidTr="00955B53">
        <w:tc>
          <w:tcPr>
            <w:tcW w:w="6973" w:type="dxa"/>
          </w:tcPr>
          <w:p w:rsidR="00A625ED" w:rsidRPr="008C68F0" w:rsidRDefault="00A625ED" w:rsidP="00CC61C7">
            <w:pPr>
              <w:spacing w:before="20" w:after="20"/>
            </w:pPr>
            <w:r w:rsidRPr="008C68F0">
              <w:t>The event was not relevant to my work</w:t>
            </w:r>
          </w:p>
        </w:tc>
        <w:tc>
          <w:tcPr>
            <w:tcW w:w="964" w:type="dxa"/>
          </w:tcPr>
          <w:p w:rsidR="00A625ED" w:rsidRPr="008C68F0" w:rsidRDefault="00A625ED" w:rsidP="00CC61C7">
            <w:pPr>
              <w:spacing w:before="20" w:after="20"/>
            </w:pPr>
            <w:r w:rsidRPr="008C68F0">
              <w:t>2</w:t>
            </w:r>
          </w:p>
        </w:tc>
        <w:tc>
          <w:tcPr>
            <w:tcW w:w="964" w:type="dxa"/>
          </w:tcPr>
          <w:p w:rsidR="00A625ED" w:rsidRPr="008C68F0" w:rsidRDefault="00A625ED" w:rsidP="00CC61C7">
            <w:pPr>
              <w:spacing w:before="20" w:after="20"/>
            </w:pPr>
            <w:r w:rsidRPr="008C68F0">
              <w:t>2</w:t>
            </w:r>
          </w:p>
        </w:tc>
      </w:tr>
      <w:tr w:rsidR="00A625ED" w:rsidRPr="008C68F0" w:rsidTr="00955B53">
        <w:tc>
          <w:tcPr>
            <w:tcW w:w="6973" w:type="dxa"/>
            <w:tcBorders>
              <w:bottom w:val="single" w:sz="4" w:space="0" w:color="auto"/>
            </w:tcBorders>
          </w:tcPr>
          <w:p w:rsidR="00A625ED" w:rsidRPr="008C68F0" w:rsidRDefault="00A625ED" w:rsidP="00CC61C7">
            <w:pPr>
              <w:spacing w:before="20" w:after="20"/>
            </w:pPr>
            <w:r w:rsidRPr="008C68F0">
              <w:t>I was unaware that the event was happening</w:t>
            </w:r>
          </w:p>
        </w:tc>
        <w:tc>
          <w:tcPr>
            <w:tcW w:w="964" w:type="dxa"/>
            <w:tcBorders>
              <w:bottom w:val="single" w:sz="4" w:space="0" w:color="auto"/>
            </w:tcBorders>
          </w:tcPr>
          <w:p w:rsidR="00A625ED" w:rsidRPr="008C68F0" w:rsidRDefault="00A625ED" w:rsidP="00CC61C7">
            <w:pPr>
              <w:spacing w:before="20" w:after="20"/>
            </w:pPr>
            <w:r w:rsidRPr="008C68F0">
              <w:t>0</w:t>
            </w:r>
          </w:p>
        </w:tc>
        <w:tc>
          <w:tcPr>
            <w:tcW w:w="964" w:type="dxa"/>
            <w:tcBorders>
              <w:bottom w:val="single" w:sz="4" w:space="0" w:color="auto"/>
            </w:tcBorders>
          </w:tcPr>
          <w:p w:rsidR="00A625ED" w:rsidRPr="008C68F0" w:rsidRDefault="00A625ED" w:rsidP="00CC61C7">
            <w:pPr>
              <w:spacing w:before="20" w:after="20"/>
            </w:pPr>
            <w:r w:rsidRPr="008C68F0">
              <w:t>0</w:t>
            </w:r>
          </w:p>
        </w:tc>
      </w:tr>
    </w:tbl>
    <w:p w:rsidR="00A625ED" w:rsidRPr="008C68F0" w:rsidRDefault="00A625ED" w:rsidP="00A625ED">
      <w:pPr>
        <w:spacing w:before="120"/>
      </w:pPr>
      <w:r w:rsidRPr="008C68F0">
        <w:t>*Includes responses originally inputted under ‘Other’ and classified based on context provided.</w:t>
      </w:r>
    </w:p>
    <w:p w:rsidR="00A625ED" w:rsidRPr="008C68F0" w:rsidRDefault="00A625ED" w:rsidP="0083349D">
      <w:pPr>
        <w:spacing w:before="40" w:after="40"/>
      </w:pPr>
      <w:r w:rsidRPr="008C68F0">
        <w:t>Of the staff that did not attend and who were not on leave, the vast majority (97%) identified time as the limiting factor, either because of time needed for ‘informal’ activities (e.g. teaching preparation) or ‘formal’ activities (e.g. scheduled commitments at LJMU and off-site). Event awareness was not an issue.</w:t>
      </w:r>
    </w:p>
    <w:p w:rsidR="00E955AE" w:rsidRPr="008C68F0" w:rsidRDefault="00E955AE" w:rsidP="00E955AE">
      <w:pPr>
        <w:spacing w:before="40" w:after="40"/>
      </w:pPr>
      <w:r w:rsidRPr="008C68F0">
        <w:t xml:space="preserve">The survey asked colleagues to suggest how we might develop </w:t>
      </w:r>
      <w:r w:rsidR="009D736D" w:rsidRPr="008C68F0">
        <w:t xml:space="preserve">our </w:t>
      </w:r>
      <w:r w:rsidRPr="008C68F0">
        <w:t>community of educators within the Faculty. In terms of advertising future development events, the involvement of Subject Leaders and emphasising the local/Faculty nature of the practice exchange was proposed and will be explored. Suggestions for WAM/CATAC hours for attending development events and mandating attendance provide sobering insights into the position that we find ourselves in. One survey respondent summarised the feelings of many;</w:t>
      </w:r>
    </w:p>
    <w:p w:rsidR="00E955AE" w:rsidRPr="008C68F0" w:rsidRDefault="00E955AE" w:rsidP="00E955AE">
      <w:pPr>
        <w:spacing w:before="40" w:after="40"/>
        <w:ind w:left="567" w:right="521"/>
        <w:rPr>
          <w:i/>
        </w:rPr>
      </w:pPr>
      <w:r w:rsidRPr="008C68F0">
        <w:rPr>
          <w:i/>
        </w:rPr>
        <w:t xml:space="preserve"> “… there is no time when other duties do not appear to be given greater urgency and priority,” </w:t>
      </w:r>
    </w:p>
    <w:p w:rsidR="00E955AE" w:rsidRPr="008C68F0" w:rsidRDefault="00955B53" w:rsidP="00E955AE">
      <w:pPr>
        <w:spacing w:before="40" w:after="40"/>
        <w:jc w:val="right"/>
      </w:pPr>
      <w:r w:rsidRPr="008C68F0">
        <w:t>Practice Exchange follow-up survey respondent</w:t>
      </w:r>
    </w:p>
    <w:p w:rsidR="00955B53" w:rsidRPr="008C68F0" w:rsidRDefault="00955B53" w:rsidP="00E955AE">
      <w:pPr>
        <w:spacing w:before="40" w:after="40"/>
      </w:pPr>
      <w:r w:rsidRPr="008C68F0">
        <w:t>To enhance attendance</w:t>
      </w:r>
      <w:r w:rsidR="00D310E3" w:rsidRPr="008C68F0">
        <w:t>s</w:t>
      </w:r>
      <w:r w:rsidRPr="008C68F0">
        <w:t xml:space="preserve"> at this event, and </w:t>
      </w:r>
      <w:r w:rsidR="00D310E3" w:rsidRPr="008C68F0">
        <w:t xml:space="preserve">to foster </w:t>
      </w:r>
      <w:r w:rsidRPr="008C68F0">
        <w:t>greater engagement with LTA activities</w:t>
      </w:r>
      <w:r w:rsidR="00D310E3" w:rsidRPr="008C68F0">
        <w:t xml:space="preserve"> in general</w:t>
      </w:r>
      <w:r w:rsidRPr="008C68F0">
        <w:t xml:space="preserve">, the following measures </w:t>
      </w:r>
      <w:r w:rsidR="00621ADF" w:rsidRPr="008C68F0">
        <w:t>are</w:t>
      </w:r>
      <w:r w:rsidRPr="008C68F0">
        <w:t xml:space="preserve"> </w:t>
      </w:r>
      <w:r w:rsidR="00621ADF" w:rsidRPr="008C68F0">
        <w:t>proposed</w:t>
      </w:r>
      <w:r w:rsidRPr="008C68F0">
        <w:t>;</w:t>
      </w:r>
    </w:p>
    <w:p w:rsidR="00955B53" w:rsidRPr="008C68F0" w:rsidRDefault="00955B53" w:rsidP="00E955AE">
      <w:pPr>
        <w:spacing w:before="40" w:after="40"/>
      </w:pPr>
      <w:r w:rsidRPr="008C68F0">
        <w:t xml:space="preserve">i) moving the </w:t>
      </w:r>
      <w:r w:rsidR="00D310E3" w:rsidRPr="008C68F0">
        <w:t xml:space="preserve">Practice Exchange </w:t>
      </w:r>
      <w:r w:rsidRPr="008C68F0">
        <w:t>event to Directed Study Week in November (September, December and January dates have already proved sub-</w:t>
      </w:r>
      <w:r w:rsidR="006978E0" w:rsidRPr="008C68F0">
        <w:t>optimal</w:t>
      </w:r>
      <w:r w:rsidRPr="008C68F0">
        <w:t>)</w:t>
      </w:r>
      <w:r w:rsidR="00D310E3" w:rsidRPr="008C68F0">
        <w:t>,</w:t>
      </w:r>
    </w:p>
    <w:p w:rsidR="00E955AE" w:rsidRPr="008C68F0" w:rsidRDefault="00955B53" w:rsidP="00E955AE">
      <w:pPr>
        <w:spacing w:before="40" w:after="40"/>
      </w:pPr>
      <w:r w:rsidRPr="008C68F0">
        <w:t xml:space="preserve">ii) greater </w:t>
      </w:r>
      <w:r w:rsidR="00D310E3" w:rsidRPr="008C68F0">
        <w:t xml:space="preserve">perceived </w:t>
      </w:r>
      <w:r w:rsidRPr="008C68F0">
        <w:t>reward and recognition for teaching and learning</w:t>
      </w:r>
      <w:r w:rsidR="00621ADF" w:rsidRPr="008C68F0">
        <w:t xml:space="preserve"> (noted that Education Committee June 2018 agreed to review promotion criteria)</w:t>
      </w:r>
      <w:r w:rsidR="00D310E3" w:rsidRPr="008C68F0">
        <w:t>,</w:t>
      </w:r>
      <w:r w:rsidR="00E955AE" w:rsidRPr="008C68F0">
        <w:t xml:space="preserve"> </w:t>
      </w:r>
    </w:p>
    <w:p w:rsidR="00E955AE" w:rsidRPr="008C68F0" w:rsidRDefault="00955B53" w:rsidP="00E955AE">
      <w:pPr>
        <w:spacing w:before="40" w:after="40"/>
      </w:pPr>
      <w:r w:rsidRPr="008C68F0">
        <w:t xml:space="preserve">iii) </w:t>
      </w:r>
      <w:r w:rsidR="00621ADF" w:rsidRPr="008C68F0">
        <w:t xml:space="preserve">exploring how key staff might be </w:t>
      </w:r>
      <w:r w:rsidR="00BF10A3" w:rsidRPr="008C68F0">
        <w:t>supported</w:t>
      </w:r>
      <w:r w:rsidR="00621ADF" w:rsidRPr="008C68F0">
        <w:t xml:space="preserve"> to advance the LTA agenda within local settings.</w:t>
      </w:r>
    </w:p>
    <w:p w:rsidR="00A625ED" w:rsidRPr="008C68F0" w:rsidRDefault="00A625ED" w:rsidP="0083349D">
      <w:pPr>
        <w:spacing w:before="40" w:after="40"/>
      </w:pPr>
    </w:p>
    <w:p w:rsidR="007226AB" w:rsidRPr="008C68F0" w:rsidRDefault="007226AB" w:rsidP="007226AB">
      <w:pPr>
        <w:pStyle w:val="Heading2"/>
      </w:pPr>
      <w:r w:rsidRPr="008C68F0">
        <w:t>Conclusion</w:t>
      </w:r>
    </w:p>
    <w:p w:rsidR="003E4115" w:rsidRPr="008C68F0" w:rsidRDefault="0017198E" w:rsidP="0083349D">
      <w:pPr>
        <w:spacing w:before="40" w:after="40"/>
      </w:pPr>
      <w:r w:rsidRPr="008C68F0">
        <w:t>The</w:t>
      </w:r>
      <w:r w:rsidR="00D310E3" w:rsidRPr="008C68F0">
        <w:t xml:space="preserve"> exceptionally-</w:t>
      </w:r>
      <w:r w:rsidR="007226AB" w:rsidRPr="008C68F0">
        <w:t>high participation rates and</w:t>
      </w:r>
      <w:r w:rsidRPr="008C68F0">
        <w:t xml:space="preserve"> </w:t>
      </w:r>
      <w:r w:rsidR="0083349D" w:rsidRPr="008C68F0">
        <w:t xml:space="preserve">volume of comments </w:t>
      </w:r>
      <w:r w:rsidR="00AD2F33" w:rsidRPr="008C68F0">
        <w:t>(</w:t>
      </w:r>
      <w:r w:rsidR="00CE4F07" w:rsidRPr="008C68F0">
        <w:t>~10</w:t>
      </w:r>
      <w:r w:rsidR="00AD2F33" w:rsidRPr="008C68F0">
        <w:t xml:space="preserve">000 words) </w:t>
      </w:r>
      <w:r w:rsidR="0083349D" w:rsidRPr="008C68F0">
        <w:t>return</w:t>
      </w:r>
      <w:r w:rsidR="0035345F" w:rsidRPr="008C68F0">
        <w:t>ed</w:t>
      </w:r>
      <w:r w:rsidR="0083349D" w:rsidRPr="008C68F0">
        <w:t xml:space="preserve"> in Form B indicate that staff</w:t>
      </w:r>
      <w:r w:rsidR="00CE4F07" w:rsidRPr="008C68F0">
        <w:t xml:space="preserve"> </w:t>
      </w:r>
      <w:r w:rsidR="0083349D" w:rsidRPr="008C68F0">
        <w:t xml:space="preserve">engaged with the </w:t>
      </w:r>
      <w:r w:rsidR="00A4585A" w:rsidRPr="008C68F0">
        <w:t>scheme in 201</w:t>
      </w:r>
      <w:r w:rsidR="00CE4F07" w:rsidRPr="008C68F0">
        <w:t>7</w:t>
      </w:r>
      <w:r w:rsidR="00A4585A" w:rsidRPr="008C68F0">
        <w:t>/1</w:t>
      </w:r>
      <w:r w:rsidR="00CE4F07" w:rsidRPr="008C68F0">
        <w:t>8</w:t>
      </w:r>
      <w:r w:rsidR="0083349D" w:rsidRPr="008C68F0">
        <w:t>. This provides sufficient evidence to suggest that the principal objectives of the scheme, “To provide an opportunity for staff to reflect on their practice and to engage academic staff in self-reflection and critical discourse”</w:t>
      </w:r>
      <w:r w:rsidR="003F061E" w:rsidRPr="008C68F0">
        <w:t xml:space="preserve"> are being realised.</w:t>
      </w:r>
      <w:r w:rsidR="0035345F" w:rsidRPr="008C68F0">
        <w:t xml:space="preserve"> </w:t>
      </w:r>
    </w:p>
    <w:p w:rsidR="006978E0" w:rsidRPr="008C68F0" w:rsidRDefault="006978E0" w:rsidP="003E4115">
      <w:pPr>
        <w:spacing w:before="40" w:after="40"/>
        <w:jc w:val="right"/>
        <w:rPr>
          <w:b/>
        </w:rPr>
      </w:pPr>
    </w:p>
    <w:p w:rsidR="006664CF" w:rsidRPr="008C68F0" w:rsidRDefault="006664CF" w:rsidP="003E4115">
      <w:pPr>
        <w:spacing w:before="40" w:after="40"/>
        <w:jc w:val="right"/>
        <w:rPr>
          <w:b/>
        </w:rPr>
      </w:pPr>
      <w:r w:rsidRPr="008C68F0">
        <w:rPr>
          <w:b/>
        </w:rPr>
        <w:t xml:space="preserve">Phil Denton, ADE, </w:t>
      </w:r>
      <w:r w:rsidR="00BF10A3" w:rsidRPr="008C68F0">
        <w:rPr>
          <w:b/>
        </w:rPr>
        <w:t>21</w:t>
      </w:r>
      <w:r w:rsidRPr="008C68F0">
        <w:rPr>
          <w:b/>
        </w:rPr>
        <w:t>/</w:t>
      </w:r>
      <w:r w:rsidR="003B2FA5" w:rsidRPr="008C68F0">
        <w:rPr>
          <w:b/>
        </w:rPr>
        <w:t>6</w:t>
      </w:r>
      <w:r w:rsidRPr="008C68F0">
        <w:rPr>
          <w:b/>
        </w:rPr>
        <w:t>/1</w:t>
      </w:r>
      <w:r w:rsidR="00CE4F07" w:rsidRPr="008C68F0">
        <w:rPr>
          <w:b/>
        </w:rPr>
        <w:t>8</w:t>
      </w:r>
    </w:p>
    <w:p w:rsidR="006978E0" w:rsidRDefault="00BF10A3" w:rsidP="003E4115">
      <w:pPr>
        <w:spacing w:before="40" w:after="40"/>
        <w:jc w:val="right"/>
        <w:rPr>
          <w:b/>
        </w:rPr>
      </w:pPr>
      <w:r w:rsidRPr="008C68F0">
        <w:rPr>
          <w:b/>
        </w:rPr>
        <w:t xml:space="preserve">Draft </w:t>
      </w:r>
      <w:r w:rsidR="00621ADF" w:rsidRPr="008C68F0">
        <w:rPr>
          <w:b/>
        </w:rPr>
        <w:t>Endorsed</w:t>
      </w:r>
      <w:r w:rsidR="006978E0" w:rsidRPr="008C68F0">
        <w:rPr>
          <w:b/>
        </w:rPr>
        <w:t xml:space="preserve"> FEC 5/6/18</w:t>
      </w:r>
    </w:p>
    <w:p w:rsidR="00E46658" w:rsidRPr="006664CF" w:rsidRDefault="00E46658" w:rsidP="003E4115">
      <w:pPr>
        <w:spacing w:before="40" w:after="40"/>
        <w:jc w:val="right"/>
        <w:rPr>
          <w:b/>
        </w:rPr>
      </w:pPr>
      <w:bookmarkStart w:id="0" w:name="_GoBack"/>
      <w:bookmarkEnd w:id="0"/>
      <w:r>
        <w:rPr>
          <w:b/>
        </w:rPr>
        <w:t>Received FMT 4/7/18</w:t>
      </w:r>
    </w:p>
    <w:sectPr w:rsidR="00E46658" w:rsidRPr="006664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D37" w:rsidRDefault="007E5D37" w:rsidP="00851991">
      <w:r>
        <w:separator/>
      </w:r>
    </w:p>
  </w:endnote>
  <w:endnote w:type="continuationSeparator" w:id="0">
    <w:p w:rsidR="007E5D37" w:rsidRDefault="007E5D37" w:rsidP="0085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D37" w:rsidRDefault="007E5D37" w:rsidP="00851991">
      <w:r>
        <w:separator/>
      </w:r>
    </w:p>
  </w:footnote>
  <w:footnote w:type="continuationSeparator" w:id="0">
    <w:p w:rsidR="007E5D37" w:rsidRDefault="007E5D37" w:rsidP="00851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322B8"/>
    <w:multiLevelType w:val="hybridMultilevel"/>
    <w:tmpl w:val="4B08F692"/>
    <w:lvl w:ilvl="0" w:tplc="ECEA892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2D7708"/>
    <w:multiLevelType w:val="hybridMultilevel"/>
    <w:tmpl w:val="E9CCBA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17AB8"/>
    <w:multiLevelType w:val="hybridMultilevel"/>
    <w:tmpl w:val="527A9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3768A9"/>
    <w:multiLevelType w:val="hybridMultilevel"/>
    <w:tmpl w:val="3D765A60"/>
    <w:lvl w:ilvl="0" w:tplc="F44EECF0">
      <w:start w:val="2015"/>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11F"/>
    <w:rsid w:val="00017CB3"/>
    <w:rsid w:val="0002253F"/>
    <w:rsid w:val="00043B8E"/>
    <w:rsid w:val="00046744"/>
    <w:rsid w:val="00061FE7"/>
    <w:rsid w:val="00066091"/>
    <w:rsid w:val="00096AC1"/>
    <w:rsid w:val="000B06B6"/>
    <w:rsid w:val="000B22C6"/>
    <w:rsid w:val="000D2624"/>
    <w:rsid w:val="000E615E"/>
    <w:rsid w:val="000F63B8"/>
    <w:rsid w:val="00113ABB"/>
    <w:rsid w:val="00127FF4"/>
    <w:rsid w:val="00134329"/>
    <w:rsid w:val="00157A45"/>
    <w:rsid w:val="00166904"/>
    <w:rsid w:val="0017198E"/>
    <w:rsid w:val="00172B88"/>
    <w:rsid w:val="00192EAD"/>
    <w:rsid w:val="001A0D48"/>
    <w:rsid w:val="001A13CB"/>
    <w:rsid w:val="001A663A"/>
    <w:rsid w:val="001B324B"/>
    <w:rsid w:val="001D1EA1"/>
    <w:rsid w:val="001F3E83"/>
    <w:rsid w:val="001F5436"/>
    <w:rsid w:val="00201E4B"/>
    <w:rsid w:val="00213948"/>
    <w:rsid w:val="00221F42"/>
    <w:rsid w:val="002238C6"/>
    <w:rsid w:val="002318C8"/>
    <w:rsid w:val="0026554E"/>
    <w:rsid w:val="002731ED"/>
    <w:rsid w:val="00284E81"/>
    <w:rsid w:val="002B4DA6"/>
    <w:rsid w:val="00305FF2"/>
    <w:rsid w:val="00316728"/>
    <w:rsid w:val="003301E7"/>
    <w:rsid w:val="003434D2"/>
    <w:rsid w:val="00351FAD"/>
    <w:rsid w:val="0035345F"/>
    <w:rsid w:val="003A404E"/>
    <w:rsid w:val="003B2FA5"/>
    <w:rsid w:val="003B5105"/>
    <w:rsid w:val="003B53BF"/>
    <w:rsid w:val="003C068C"/>
    <w:rsid w:val="003E4115"/>
    <w:rsid w:val="003F061E"/>
    <w:rsid w:val="003F5F2D"/>
    <w:rsid w:val="00407593"/>
    <w:rsid w:val="00415A21"/>
    <w:rsid w:val="0044297C"/>
    <w:rsid w:val="00445B04"/>
    <w:rsid w:val="00454BB5"/>
    <w:rsid w:val="00471BF4"/>
    <w:rsid w:val="004A774C"/>
    <w:rsid w:val="004C33E4"/>
    <w:rsid w:val="00504508"/>
    <w:rsid w:val="005065DD"/>
    <w:rsid w:val="00507195"/>
    <w:rsid w:val="00520207"/>
    <w:rsid w:val="00541F71"/>
    <w:rsid w:val="0055522D"/>
    <w:rsid w:val="00560A1E"/>
    <w:rsid w:val="005731E8"/>
    <w:rsid w:val="00587267"/>
    <w:rsid w:val="005B136A"/>
    <w:rsid w:val="005C0772"/>
    <w:rsid w:val="005C5AB7"/>
    <w:rsid w:val="005D4830"/>
    <w:rsid w:val="005D731D"/>
    <w:rsid w:val="005F5EF0"/>
    <w:rsid w:val="006131D5"/>
    <w:rsid w:val="00614C1F"/>
    <w:rsid w:val="00620417"/>
    <w:rsid w:val="00621ADF"/>
    <w:rsid w:val="00662BA7"/>
    <w:rsid w:val="00662CF4"/>
    <w:rsid w:val="006664CF"/>
    <w:rsid w:val="00672D42"/>
    <w:rsid w:val="00695C8A"/>
    <w:rsid w:val="006978E0"/>
    <w:rsid w:val="006A10C6"/>
    <w:rsid w:val="006B7803"/>
    <w:rsid w:val="006D2C65"/>
    <w:rsid w:val="00705966"/>
    <w:rsid w:val="007226AB"/>
    <w:rsid w:val="00761099"/>
    <w:rsid w:val="00772A15"/>
    <w:rsid w:val="007B771F"/>
    <w:rsid w:val="007D7B18"/>
    <w:rsid w:val="007E5D37"/>
    <w:rsid w:val="007F6372"/>
    <w:rsid w:val="00803089"/>
    <w:rsid w:val="00804C52"/>
    <w:rsid w:val="00825C5A"/>
    <w:rsid w:val="0083349D"/>
    <w:rsid w:val="00834AC7"/>
    <w:rsid w:val="00851991"/>
    <w:rsid w:val="00860E1F"/>
    <w:rsid w:val="008A78F6"/>
    <w:rsid w:val="008B0F53"/>
    <w:rsid w:val="008C54EA"/>
    <w:rsid w:val="008C68F0"/>
    <w:rsid w:val="008C78CE"/>
    <w:rsid w:val="008D1E90"/>
    <w:rsid w:val="008E435F"/>
    <w:rsid w:val="008F72F2"/>
    <w:rsid w:val="00903E2F"/>
    <w:rsid w:val="0091007F"/>
    <w:rsid w:val="00913967"/>
    <w:rsid w:val="00915FE5"/>
    <w:rsid w:val="00926018"/>
    <w:rsid w:val="009404E1"/>
    <w:rsid w:val="0095298B"/>
    <w:rsid w:val="00955B53"/>
    <w:rsid w:val="009842B8"/>
    <w:rsid w:val="00984A6F"/>
    <w:rsid w:val="00990B95"/>
    <w:rsid w:val="00992DB0"/>
    <w:rsid w:val="009935B6"/>
    <w:rsid w:val="009A398F"/>
    <w:rsid w:val="009B024B"/>
    <w:rsid w:val="009B0631"/>
    <w:rsid w:val="009C08C4"/>
    <w:rsid w:val="009D007C"/>
    <w:rsid w:val="009D60A2"/>
    <w:rsid w:val="009D736D"/>
    <w:rsid w:val="00A27F7F"/>
    <w:rsid w:val="00A42DA1"/>
    <w:rsid w:val="00A44FE8"/>
    <w:rsid w:val="00A4585A"/>
    <w:rsid w:val="00A47A29"/>
    <w:rsid w:val="00A47FBA"/>
    <w:rsid w:val="00A625ED"/>
    <w:rsid w:val="00A92A46"/>
    <w:rsid w:val="00AD2F33"/>
    <w:rsid w:val="00AE0234"/>
    <w:rsid w:val="00AE1163"/>
    <w:rsid w:val="00B1025D"/>
    <w:rsid w:val="00B20077"/>
    <w:rsid w:val="00B2086E"/>
    <w:rsid w:val="00B31748"/>
    <w:rsid w:val="00B53F8C"/>
    <w:rsid w:val="00B67D9C"/>
    <w:rsid w:val="00B725E4"/>
    <w:rsid w:val="00B83D4C"/>
    <w:rsid w:val="00BA2C1A"/>
    <w:rsid w:val="00BA7B1A"/>
    <w:rsid w:val="00BB085E"/>
    <w:rsid w:val="00BB229A"/>
    <w:rsid w:val="00BC369F"/>
    <w:rsid w:val="00BF06A1"/>
    <w:rsid w:val="00BF10A3"/>
    <w:rsid w:val="00BF4481"/>
    <w:rsid w:val="00BF5B0A"/>
    <w:rsid w:val="00C0033B"/>
    <w:rsid w:val="00C10A1E"/>
    <w:rsid w:val="00C249CB"/>
    <w:rsid w:val="00C5730D"/>
    <w:rsid w:val="00C73E27"/>
    <w:rsid w:val="00C83C4F"/>
    <w:rsid w:val="00C85475"/>
    <w:rsid w:val="00C85BEC"/>
    <w:rsid w:val="00CA760A"/>
    <w:rsid w:val="00CE4F07"/>
    <w:rsid w:val="00CF3CC3"/>
    <w:rsid w:val="00D02C4F"/>
    <w:rsid w:val="00D269A8"/>
    <w:rsid w:val="00D272E5"/>
    <w:rsid w:val="00D3049F"/>
    <w:rsid w:val="00D310E3"/>
    <w:rsid w:val="00D42B77"/>
    <w:rsid w:val="00D44319"/>
    <w:rsid w:val="00D5467A"/>
    <w:rsid w:val="00D67305"/>
    <w:rsid w:val="00D8738F"/>
    <w:rsid w:val="00D9111F"/>
    <w:rsid w:val="00DA77B5"/>
    <w:rsid w:val="00DB3599"/>
    <w:rsid w:val="00DC266B"/>
    <w:rsid w:val="00DD7F1F"/>
    <w:rsid w:val="00DE0983"/>
    <w:rsid w:val="00DE238A"/>
    <w:rsid w:val="00DF6E32"/>
    <w:rsid w:val="00E06484"/>
    <w:rsid w:val="00E20863"/>
    <w:rsid w:val="00E23803"/>
    <w:rsid w:val="00E36BCB"/>
    <w:rsid w:val="00E4162A"/>
    <w:rsid w:val="00E42AC1"/>
    <w:rsid w:val="00E430D0"/>
    <w:rsid w:val="00E46027"/>
    <w:rsid w:val="00E46658"/>
    <w:rsid w:val="00E502A8"/>
    <w:rsid w:val="00E85C07"/>
    <w:rsid w:val="00E955AE"/>
    <w:rsid w:val="00EA2B0B"/>
    <w:rsid w:val="00EA5FDB"/>
    <w:rsid w:val="00EB61A1"/>
    <w:rsid w:val="00EC03D0"/>
    <w:rsid w:val="00EE4942"/>
    <w:rsid w:val="00F0169D"/>
    <w:rsid w:val="00F2041B"/>
    <w:rsid w:val="00F240FD"/>
    <w:rsid w:val="00F36CCB"/>
    <w:rsid w:val="00F7318D"/>
    <w:rsid w:val="00F86C09"/>
    <w:rsid w:val="00FA4ADD"/>
    <w:rsid w:val="00FB2852"/>
    <w:rsid w:val="00FE196C"/>
    <w:rsid w:val="00FF4E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E7FE68D"/>
  <w15:docId w15:val="{BD1E1224-2AAC-459D-AD2A-0263F030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991"/>
    <w:pPr>
      <w:spacing w:after="120"/>
    </w:pPr>
  </w:style>
  <w:style w:type="paragraph" w:styleId="Heading1">
    <w:name w:val="heading 1"/>
    <w:basedOn w:val="Normal"/>
    <w:next w:val="Normal"/>
    <w:link w:val="Heading1Char"/>
    <w:uiPriority w:val="9"/>
    <w:qFormat/>
    <w:rsid w:val="00FF4EE4"/>
    <w:pPr>
      <w:keepNext/>
      <w:keepLines/>
      <w:spacing w:before="240"/>
      <w:outlineLvl w:val="0"/>
    </w:pPr>
    <w:rPr>
      <w:rFonts w:ascii="Arial" w:eastAsiaTheme="majorEastAsia" w:hAnsi="Arial" w:cs="Arial"/>
      <w:b/>
      <w:color w:val="000000" w:themeColor="text1"/>
      <w:sz w:val="24"/>
      <w:szCs w:val="24"/>
    </w:rPr>
  </w:style>
  <w:style w:type="paragraph" w:styleId="Heading2">
    <w:name w:val="heading 2"/>
    <w:basedOn w:val="Normal"/>
    <w:next w:val="Normal"/>
    <w:link w:val="Heading2Char"/>
    <w:uiPriority w:val="9"/>
    <w:unhideWhenUsed/>
    <w:qFormat/>
    <w:rsid w:val="0017198E"/>
    <w:pPr>
      <w:keepNext/>
      <w:keepLines/>
      <w:spacing w:before="120"/>
      <w:outlineLvl w:val="1"/>
    </w:pPr>
    <w:rPr>
      <w:rFonts w:ascii="Arial" w:eastAsiaTheme="majorEastAsia" w:hAnsi="Arial" w:cs="Arial"/>
      <w:b/>
      <w:color w:val="000000" w:themeColor="text1"/>
      <w:sz w:val="24"/>
      <w:szCs w:val="24"/>
    </w:rPr>
  </w:style>
  <w:style w:type="paragraph" w:styleId="Heading3">
    <w:name w:val="heading 3"/>
    <w:basedOn w:val="Normal"/>
    <w:next w:val="Normal"/>
    <w:link w:val="Heading3Char"/>
    <w:uiPriority w:val="9"/>
    <w:unhideWhenUsed/>
    <w:qFormat/>
    <w:rsid w:val="00EE4942"/>
    <w:pPr>
      <w:keepNext/>
      <w:keepLines/>
      <w:spacing w:before="120"/>
      <w:outlineLvl w:val="2"/>
    </w:pPr>
    <w:rPr>
      <w:rFonts w:ascii="Arial" w:eastAsiaTheme="majorEastAsia" w:hAnsi="Arial" w:cs="Arial"/>
      <w:b/>
      <w: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1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61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15E"/>
  </w:style>
  <w:style w:type="paragraph" w:styleId="Footer">
    <w:name w:val="footer"/>
    <w:basedOn w:val="Normal"/>
    <w:link w:val="FooterChar"/>
    <w:uiPriority w:val="99"/>
    <w:unhideWhenUsed/>
    <w:rsid w:val="000E6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15E"/>
  </w:style>
  <w:style w:type="paragraph" w:styleId="BalloonText">
    <w:name w:val="Balloon Text"/>
    <w:basedOn w:val="Normal"/>
    <w:link w:val="BalloonTextChar"/>
    <w:uiPriority w:val="99"/>
    <w:semiHidden/>
    <w:unhideWhenUsed/>
    <w:rsid w:val="000E6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15E"/>
    <w:rPr>
      <w:rFonts w:ascii="Tahoma" w:hAnsi="Tahoma" w:cs="Tahoma"/>
      <w:sz w:val="16"/>
      <w:szCs w:val="16"/>
    </w:rPr>
  </w:style>
  <w:style w:type="paragraph" w:styleId="ListParagraph">
    <w:name w:val="List Paragraph"/>
    <w:basedOn w:val="Normal"/>
    <w:uiPriority w:val="34"/>
    <w:qFormat/>
    <w:rsid w:val="00772A15"/>
    <w:pPr>
      <w:spacing w:after="160" w:line="259" w:lineRule="auto"/>
      <w:ind w:left="720"/>
      <w:contextualSpacing/>
    </w:pPr>
    <w:rPr>
      <w:lang w:eastAsia="zh-TW"/>
    </w:rPr>
  </w:style>
  <w:style w:type="character" w:styleId="PlaceholderText">
    <w:name w:val="Placeholder Text"/>
    <w:basedOn w:val="DefaultParagraphFont"/>
    <w:uiPriority w:val="99"/>
    <w:semiHidden/>
    <w:rsid w:val="00772A15"/>
    <w:rPr>
      <w:color w:val="808080"/>
    </w:rPr>
  </w:style>
  <w:style w:type="character" w:styleId="Hyperlink">
    <w:name w:val="Hyperlink"/>
    <w:basedOn w:val="DefaultParagraphFont"/>
    <w:uiPriority w:val="99"/>
    <w:unhideWhenUsed/>
    <w:rsid w:val="00772A15"/>
    <w:rPr>
      <w:color w:val="0000FF" w:themeColor="hyperlink"/>
      <w:u w:val="single"/>
    </w:rPr>
  </w:style>
  <w:style w:type="character" w:customStyle="1" w:styleId="Heading1Char">
    <w:name w:val="Heading 1 Char"/>
    <w:basedOn w:val="DefaultParagraphFont"/>
    <w:link w:val="Heading1"/>
    <w:uiPriority w:val="9"/>
    <w:rsid w:val="00FF4EE4"/>
    <w:rPr>
      <w:rFonts w:ascii="Arial" w:eastAsiaTheme="majorEastAsia" w:hAnsi="Arial" w:cs="Arial"/>
      <w:b/>
      <w:color w:val="000000" w:themeColor="text1"/>
      <w:sz w:val="24"/>
      <w:szCs w:val="24"/>
    </w:rPr>
  </w:style>
  <w:style w:type="character" w:customStyle="1" w:styleId="Heading2Char">
    <w:name w:val="Heading 2 Char"/>
    <w:basedOn w:val="DefaultParagraphFont"/>
    <w:link w:val="Heading2"/>
    <w:uiPriority w:val="9"/>
    <w:rsid w:val="0017198E"/>
    <w:rPr>
      <w:rFonts w:ascii="Arial" w:eastAsiaTheme="majorEastAsia" w:hAnsi="Arial" w:cs="Arial"/>
      <w:b/>
      <w:color w:val="000000" w:themeColor="text1"/>
      <w:sz w:val="24"/>
      <w:szCs w:val="24"/>
    </w:rPr>
  </w:style>
  <w:style w:type="character" w:customStyle="1" w:styleId="Heading3Char">
    <w:name w:val="Heading 3 Char"/>
    <w:basedOn w:val="DefaultParagraphFont"/>
    <w:link w:val="Heading3"/>
    <w:uiPriority w:val="9"/>
    <w:rsid w:val="00EE4942"/>
    <w:rPr>
      <w:rFonts w:ascii="Arial" w:eastAsiaTheme="majorEastAsia" w:hAnsi="Arial" w:cs="Arial"/>
      <w:b/>
      <w:i/>
      <w:color w:val="000000" w:themeColor="text1"/>
      <w:sz w:val="24"/>
      <w:szCs w:val="24"/>
    </w:rPr>
  </w:style>
  <w:style w:type="character" w:styleId="FollowedHyperlink">
    <w:name w:val="FollowedHyperlink"/>
    <w:basedOn w:val="DefaultParagraphFont"/>
    <w:uiPriority w:val="99"/>
    <w:semiHidden/>
    <w:unhideWhenUsed/>
    <w:rsid w:val="00284E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96099">
      <w:bodyDiv w:val="1"/>
      <w:marLeft w:val="0"/>
      <w:marRight w:val="0"/>
      <w:marTop w:val="0"/>
      <w:marBottom w:val="0"/>
      <w:divBdr>
        <w:top w:val="none" w:sz="0" w:space="0" w:color="auto"/>
        <w:left w:val="none" w:sz="0" w:space="0" w:color="auto"/>
        <w:bottom w:val="none" w:sz="0" w:space="0" w:color="auto"/>
        <w:right w:val="none" w:sz="0" w:space="0" w:color="auto"/>
      </w:divBdr>
    </w:div>
    <w:div w:id="97583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jmu.ac.uk/~/media/sample-sharepoint-libraries/policy-documents/144.pdf?la=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owie.ljmu.ac.uk/FacultyLTA/Actionplansandreports/1718LTADDfeedback.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owie.ljmu.ac.uk/FacultyLTA/Actionplansandreports/201718%20Teaching%20Observation%20Scheme%20Report%20Appendices.docx" TargetMode="External"/><Relationship Id="rId5" Type="http://schemas.openxmlformats.org/officeDocument/2006/relationships/webSettings" Target="webSettings.xml"/><Relationship Id="rId10" Type="http://schemas.openxmlformats.org/officeDocument/2006/relationships/hyperlink" Target="http://wowie.ljmu.ac.uk/FacultyLTA/Actionplansandreports/201718%20Teaching%20Observation%20Scheme%20Report%20Appendices.docx" TargetMode="External"/><Relationship Id="rId4" Type="http://schemas.openxmlformats.org/officeDocument/2006/relationships/settings" Target="settings.xml"/><Relationship Id="rId9" Type="http://schemas.openxmlformats.org/officeDocument/2006/relationships/hyperlink" Target="http://wowie.ljmu.ac.uk/FacultyLTA/Teachingobservationscheme/Summary%20of%20Faculty%20of%20Science%20Teaching%20Observation%20Process%20for%20Observers.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B50D7-6E03-44CB-B28E-744D588BA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Denton, Philip</dc:creator>
  <cp:lastModifiedBy>Denton, Philip</cp:lastModifiedBy>
  <cp:revision>3</cp:revision>
  <cp:lastPrinted>2016-11-16T12:51:00Z</cp:lastPrinted>
  <dcterms:created xsi:type="dcterms:W3CDTF">2018-06-21T15:35:00Z</dcterms:created>
  <dcterms:modified xsi:type="dcterms:W3CDTF">2018-06-29T13:32:00Z</dcterms:modified>
</cp:coreProperties>
</file>