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434" w:rsidRPr="00AE059C" w:rsidRDefault="00AB6D01" w:rsidP="00737D4E">
      <w:pPr>
        <w:spacing w:line="240" w:lineRule="auto"/>
        <w:rPr>
          <w:rFonts w:asciiTheme="minorHAnsi" w:hAnsiTheme="minorHAnsi" w:cs="Arial"/>
          <w:b/>
          <w:sz w:val="22"/>
        </w:rPr>
      </w:pPr>
      <w:r w:rsidRPr="00AE059C">
        <w:rPr>
          <w:rFonts w:asciiTheme="minorHAnsi" w:hAnsiTheme="minorHAnsi" w:cs="Arial"/>
          <w:b/>
          <w:sz w:val="22"/>
        </w:rPr>
        <w:t>FACULTY (</w:t>
      </w:r>
      <w:r w:rsidR="003E7B09" w:rsidRPr="00AE059C">
        <w:rPr>
          <w:rFonts w:asciiTheme="minorHAnsi" w:hAnsiTheme="minorHAnsi" w:cs="Arial"/>
          <w:b/>
          <w:i/>
          <w:sz w:val="22"/>
        </w:rPr>
        <w:t>Science</w:t>
      </w:r>
      <w:r w:rsidRPr="00AE059C">
        <w:rPr>
          <w:rFonts w:asciiTheme="minorHAnsi" w:hAnsiTheme="minorHAnsi" w:cs="Arial"/>
          <w:b/>
          <w:sz w:val="22"/>
        </w:rPr>
        <w:t xml:space="preserve">) </w:t>
      </w:r>
      <w:r w:rsidR="00737D4E" w:rsidRPr="00AE059C">
        <w:rPr>
          <w:rFonts w:asciiTheme="minorHAnsi" w:hAnsiTheme="minorHAnsi" w:cs="Arial"/>
          <w:b/>
          <w:sz w:val="22"/>
        </w:rPr>
        <w:t xml:space="preserve">LEARNING, TEACHING AND ASSESSMENT </w:t>
      </w:r>
      <w:r w:rsidR="005429E5">
        <w:rPr>
          <w:rFonts w:asciiTheme="minorHAnsi" w:hAnsiTheme="minorHAnsi" w:cs="Arial"/>
          <w:b/>
          <w:sz w:val="22"/>
        </w:rPr>
        <w:t>ACTION</w:t>
      </w:r>
      <w:r w:rsidR="00737D4E" w:rsidRPr="00AE059C">
        <w:rPr>
          <w:rFonts w:asciiTheme="minorHAnsi" w:hAnsiTheme="minorHAnsi" w:cs="Arial"/>
          <w:b/>
          <w:sz w:val="22"/>
        </w:rPr>
        <w:t xml:space="preserve"> PLAN</w:t>
      </w:r>
      <w:r w:rsidR="00326FAC">
        <w:rPr>
          <w:rFonts w:asciiTheme="minorHAnsi" w:hAnsiTheme="minorHAnsi" w:cs="Arial"/>
          <w:b/>
          <w:sz w:val="22"/>
        </w:rPr>
        <w:t xml:space="preserve"> 2015/16</w:t>
      </w:r>
    </w:p>
    <w:p w:rsidR="008A070E" w:rsidRPr="00AE059C" w:rsidRDefault="008A070E" w:rsidP="0060235C">
      <w:pPr>
        <w:spacing w:after="0"/>
        <w:rPr>
          <w:rFonts w:asciiTheme="minorHAnsi" w:hAnsiTheme="minorHAnsi" w:cs="Arial"/>
          <w:b/>
          <w:i/>
          <w:sz w:val="22"/>
        </w:rPr>
      </w:pPr>
      <w:r w:rsidRPr="00AE059C">
        <w:rPr>
          <w:rFonts w:asciiTheme="minorHAnsi" w:hAnsiTheme="minorHAnsi" w:cs="Arial"/>
          <w:b/>
          <w:i/>
          <w:sz w:val="22"/>
        </w:rPr>
        <w:t xml:space="preserve">Brief summary of </w:t>
      </w:r>
      <w:r w:rsidR="00994F30" w:rsidRPr="00AE059C">
        <w:rPr>
          <w:rFonts w:asciiTheme="minorHAnsi" w:hAnsiTheme="minorHAnsi" w:cs="Arial"/>
          <w:b/>
          <w:i/>
          <w:sz w:val="22"/>
        </w:rPr>
        <w:t xml:space="preserve">achievement against </w:t>
      </w:r>
      <w:r w:rsidRPr="00AE059C">
        <w:rPr>
          <w:rFonts w:asciiTheme="minorHAnsi" w:hAnsiTheme="minorHAnsi" w:cs="Arial"/>
          <w:b/>
          <w:i/>
          <w:sz w:val="22"/>
        </w:rPr>
        <w:t>201</w:t>
      </w:r>
      <w:r w:rsidR="0009532A">
        <w:rPr>
          <w:rFonts w:asciiTheme="minorHAnsi" w:hAnsiTheme="minorHAnsi" w:cs="Arial"/>
          <w:b/>
          <w:i/>
          <w:sz w:val="22"/>
        </w:rPr>
        <w:t>4</w:t>
      </w:r>
      <w:r w:rsidR="00994F30" w:rsidRPr="00AE059C">
        <w:rPr>
          <w:rFonts w:asciiTheme="minorHAnsi" w:hAnsiTheme="minorHAnsi" w:cs="Arial"/>
          <w:b/>
          <w:i/>
          <w:sz w:val="22"/>
        </w:rPr>
        <w:t>-1</w:t>
      </w:r>
      <w:r w:rsidR="0009532A">
        <w:rPr>
          <w:rFonts w:asciiTheme="minorHAnsi" w:hAnsiTheme="minorHAnsi" w:cs="Arial"/>
          <w:b/>
          <w:i/>
          <w:sz w:val="22"/>
        </w:rPr>
        <w:t xml:space="preserve">5 </w:t>
      </w:r>
      <w:r w:rsidR="00887E97" w:rsidRPr="00AE059C">
        <w:rPr>
          <w:rFonts w:asciiTheme="minorHAnsi" w:hAnsiTheme="minorHAnsi" w:cs="Arial"/>
          <w:b/>
          <w:i/>
          <w:sz w:val="22"/>
        </w:rPr>
        <w:t xml:space="preserve">Faculty </w:t>
      </w:r>
      <w:r w:rsidR="000C035B">
        <w:rPr>
          <w:rFonts w:asciiTheme="minorHAnsi" w:hAnsiTheme="minorHAnsi" w:cs="Arial"/>
          <w:b/>
          <w:i/>
          <w:sz w:val="22"/>
        </w:rPr>
        <w:t xml:space="preserve">LTA Action </w:t>
      </w:r>
      <w:r w:rsidR="00994F30" w:rsidRPr="00AE059C">
        <w:rPr>
          <w:rFonts w:asciiTheme="minorHAnsi" w:hAnsiTheme="minorHAnsi" w:cs="Arial"/>
          <w:b/>
          <w:i/>
          <w:sz w:val="22"/>
        </w:rPr>
        <w:t>plan and NSS and LJMU survey action plans</w:t>
      </w:r>
      <w:r w:rsidR="00451265" w:rsidRPr="00AE059C">
        <w:rPr>
          <w:rFonts w:asciiTheme="minorHAnsi" w:hAnsiTheme="minorHAnsi" w:cs="Arial"/>
          <w:b/>
          <w:i/>
          <w:sz w:val="22"/>
        </w:rPr>
        <w:t>,</w:t>
      </w:r>
      <w:r w:rsidR="00994F30" w:rsidRPr="00AE059C">
        <w:rPr>
          <w:rFonts w:asciiTheme="minorHAnsi" w:hAnsiTheme="minorHAnsi" w:cs="Arial"/>
          <w:b/>
          <w:i/>
          <w:sz w:val="22"/>
        </w:rPr>
        <w:t xml:space="preserve"> </w:t>
      </w:r>
      <w:r w:rsidR="006D6005" w:rsidRPr="00AE059C">
        <w:rPr>
          <w:rFonts w:asciiTheme="minorHAnsi" w:hAnsiTheme="minorHAnsi" w:cs="Arial"/>
          <w:b/>
          <w:i/>
          <w:sz w:val="22"/>
        </w:rPr>
        <w:t>(</w:t>
      </w:r>
      <w:r w:rsidR="00564348">
        <w:rPr>
          <w:rFonts w:asciiTheme="minorHAnsi" w:hAnsiTheme="minorHAnsi" w:cs="Arial"/>
          <w:b/>
          <w:i/>
          <w:sz w:val="22"/>
        </w:rPr>
        <w:t>UKES</w:t>
      </w:r>
      <w:r w:rsidR="006D6005" w:rsidRPr="00AE059C">
        <w:rPr>
          <w:rFonts w:asciiTheme="minorHAnsi" w:hAnsiTheme="minorHAnsi" w:cs="Arial"/>
          <w:b/>
          <w:i/>
          <w:sz w:val="22"/>
        </w:rPr>
        <w:t xml:space="preserve">, </w:t>
      </w:r>
      <w:r w:rsidR="00564348">
        <w:rPr>
          <w:rFonts w:asciiTheme="minorHAnsi" w:hAnsiTheme="minorHAnsi" w:cs="Arial"/>
          <w:b/>
          <w:i/>
          <w:sz w:val="22"/>
        </w:rPr>
        <w:t>In-</w:t>
      </w:r>
      <w:r w:rsidR="00840E9F">
        <w:rPr>
          <w:rFonts w:asciiTheme="minorHAnsi" w:hAnsiTheme="minorHAnsi" w:cs="Arial"/>
          <w:b/>
          <w:i/>
          <w:sz w:val="22"/>
        </w:rPr>
        <w:t>F</w:t>
      </w:r>
      <w:r w:rsidR="00564348">
        <w:rPr>
          <w:rFonts w:asciiTheme="minorHAnsi" w:hAnsiTheme="minorHAnsi" w:cs="Arial"/>
          <w:b/>
          <w:i/>
          <w:sz w:val="22"/>
        </w:rPr>
        <w:t>orm</w:t>
      </w:r>
      <w:r w:rsidR="00373434" w:rsidRPr="00AE059C">
        <w:rPr>
          <w:rFonts w:asciiTheme="minorHAnsi" w:hAnsiTheme="minorHAnsi" w:cs="Arial"/>
          <w:b/>
          <w:i/>
          <w:sz w:val="22"/>
        </w:rPr>
        <w:t xml:space="preserve">, </w:t>
      </w:r>
      <w:r w:rsidR="00390DC7" w:rsidRPr="00AE059C">
        <w:rPr>
          <w:rFonts w:asciiTheme="minorHAnsi" w:hAnsiTheme="minorHAnsi" w:cs="Arial"/>
          <w:b/>
          <w:i/>
          <w:sz w:val="22"/>
        </w:rPr>
        <w:t xml:space="preserve">Faculty Student Voice Reports, </w:t>
      </w:r>
      <w:r w:rsidR="00373434" w:rsidRPr="00AE059C">
        <w:rPr>
          <w:rFonts w:asciiTheme="minorHAnsi" w:hAnsiTheme="minorHAnsi" w:cs="Arial"/>
          <w:b/>
          <w:i/>
          <w:sz w:val="22"/>
        </w:rPr>
        <w:t xml:space="preserve">Module </w:t>
      </w:r>
      <w:r w:rsidR="00840E9F">
        <w:rPr>
          <w:rFonts w:asciiTheme="minorHAnsi" w:hAnsiTheme="minorHAnsi" w:cs="Arial"/>
          <w:b/>
          <w:i/>
          <w:sz w:val="22"/>
        </w:rPr>
        <w:t>Evaluation</w:t>
      </w:r>
      <w:r w:rsidR="00373434" w:rsidRPr="00AE059C">
        <w:rPr>
          <w:rFonts w:asciiTheme="minorHAnsi" w:hAnsiTheme="minorHAnsi" w:cs="Arial"/>
          <w:b/>
          <w:i/>
          <w:sz w:val="22"/>
        </w:rPr>
        <w:t>).</w:t>
      </w:r>
    </w:p>
    <w:p w:rsidR="000C035B" w:rsidRPr="000C035B" w:rsidRDefault="000C035B" w:rsidP="00A21FF4">
      <w:pPr>
        <w:spacing w:after="120"/>
        <w:rPr>
          <w:rFonts w:asciiTheme="minorHAnsi" w:hAnsiTheme="minorHAnsi"/>
          <w:i/>
          <w:color w:val="000000" w:themeColor="text1"/>
          <w:sz w:val="4"/>
          <w:szCs w:val="4"/>
        </w:rPr>
      </w:pPr>
    </w:p>
    <w:p w:rsidR="00A21FF4" w:rsidRPr="00AE059C" w:rsidRDefault="0009532A" w:rsidP="00A21FF4">
      <w:pPr>
        <w:spacing w:after="120"/>
        <w:rPr>
          <w:rFonts w:asciiTheme="minorHAnsi" w:hAnsiTheme="minorHAnsi"/>
          <w:i/>
          <w:color w:val="000000" w:themeColor="text1"/>
          <w:sz w:val="22"/>
        </w:rPr>
      </w:pPr>
      <w:r>
        <w:rPr>
          <w:rFonts w:asciiTheme="minorHAnsi" w:hAnsiTheme="minorHAnsi"/>
          <w:i/>
          <w:color w:val="000000" w:themeColor="text1"/>
          <w:sz w:val="22"/>
        </w:rPr>
        <w:t>Faculty Student Voice Report Action plan 2014/15</w:t>
      </w:r>
      <w:r w:rsidR="00A21FF4">
        <w:rPr>
          <w:rFonts w:asciiTheme="minorHAnsi" w:hAnsiTheme="minorHAnsi"/>
          <w:i/>
          <w:color w:val="000000" w:themeColor="text1"/>
          <w:sz w:val="22"/>
        </w:rPr>
        <w:t xml:space="preserve"> and Faculty LTA Action plan 2014/15</w:t>
      </w:r>
    </w:p>
    <w:p w:rsidR="00E30150" w:rsidRPr="00F252C1" w:rsidRDefault="00A21FF4" w:rsidP="00F252C1">
      <w:pPr>
        <w:pStyle w:val="ListParagraph"/>
        <w:numPr>
          <w:ilvl w:val="0"/>
          <w:numId w:val="30"/>
        </w:numPr>
        <w:spacing w:after="120"/>
        <w:rPr>
          <w:rFonts w:asciiTheme="minorHAnsi" w:hAnsiTheme="minorHAnsi"/>
          <w:color w:val="000000" w:themeColor="text1"/>
          <w:sz w:val="22"/>
        </w:rPr>
      </w:pPr>
      <w:r w:rsidRPr="00F252C1">
        <w:rPr>
          <w:rFonts w:asciiTheme="minorHAnsi" w:hAnsiTheme="minorHAnsi"/>
          <w:color w:val="000000" w:themeColor="text1"/>
          <w:sz w:val="22"/>
        </w:rPr>
        <w:t xml:space="preserve">A new Faculty LTA website to share good practice in LTA, including learning </w:t>
      </w:r>
      <w:r w:rsidR="00E30150" w:rsidRPr="00F252C1">
        <w:rPr>
          <w:rFonts w:asciiTheme="minorHAnsi" w:hAnsiTheme="minorHAnsi"/>
          <w:color w:val="000000" w:themeColor="text1"/>
          <w:sz w:val="22"/>
        </w:rPr>
        <w:t xml:space="preserve">technologies, was established. </w:t>
      </w:r>
    </w:p>
    <w:p w:rsidR="00E30150" w:rsidRPr="00F252C1" w:rsidRDefault="00A83D3D" w:rsidP="00F252C1">
      <w:pPr>
        <w:spacing w:after="120"/>
        <w:ind w:firstLine="720"/>
        <w:rPr>
          <w:rFonts w:asciiTheme="minorHAnsi" w:hAnsiTheme="minorHAnsi"/>
          <w:color w:val="000000" w:themeColor="text1"/>
          <w:sz w:val="22"/>
        </w:rPr>
      </w:pPr>
      <w:hyperlink r:id="rId10" w:history="1">
        <w:r w:rsidR="0027221B" w:rsidRPr="00F252C1">
          <w:rPr>
            <w:rStyle w:val="Hyperlink"/>
            <w:rFonts w:asciiTheme="minorHAnsi" w:hAnsiTheme="minorHAnsi"/>
            <w:sz w:val="22"/>
          </w:rPr>
          <w:t>http://wowie.ljmu.ac.uk/FacultyLTA/Home.htm</w:t>
        </w:r>
      </w:hyperlink>
    </w:p>
    <w:p w:rsidR="00A21FF4" w:rsidRPr="00F252C1" w:rsidRDefault="00A21FF4" w:rsidP="00F252C1">
      <w:pPr>
        <w:spacing w:after="120"/>
        <w:ind w:left="720"/>
        <w:rPr>
          <w:rFonts w:asciiTheme="minorHAnsi" w:hAnsiTheme="minorHAnsi"/>
          <w:color w:val="000000" w:themeColor="text1"/>
          <w:sz w:val="22"/>
        </w:rPr>
      </w:pPr>
      <w:r w:rsidRPr="00F252C1">
        <w:rPr>
          <w:rFonts w:asciiTheme="minorHAnsi" w:hAnsiTheme="minorHAnsi"/>
          <w:color w:val="000000" w:themeColor="text1"/>
          <w:sz w:val="22"/>
        </w:rPr>
        <w:t>The LTA website also act</w:t>
      </w:r>
      <w:r w:rsidR="0027221B" w:rsidRPr="00F252C1">
        <w:rPr>
          <w:rFonts w:asciiTheme="minorHAnsi" w:hAnsiTheme="minorHAnsi"/>
          <w:color w:val="000000" w:themeColor="text1"/>
          <w:sz w:val="22"/>
        </w:rPr>
        <w:t>s</w:t>
      </w:r>
      <w:r w:rsidRPr="00F252C1">
        <w:rPr>
          <w:rFonts w:asciiTheme="minorHAnsi" w:hAnsiTheme="minorHAnsi"/>
          <w:color w:val="000000" w:themeColor="text1"/>
          <w:sz w:val="22"/>
        </w:rPr>
        <w:t xml:space="preserve"> as an archive for LTA Update messages sent periodically to staff over the academic </w:t>
      </w:r>
      <w:r w:rsidR="00CE303F" w:rsidRPr="00F252C1">
        <w:rPr>
          <w:rFonts w:asciiTheme="minorHAnsi" w:hAnsiTheme="minorHAnsi"/>
          <w:color w:val="000000" w:themeColor="text1"/>
          <w:sz w:val="22"/>
        </w:rPr>
        <w:t>year and this acts as a useful channel for information sharing.</w:t>
      </w:r>
    </w:p>
    <w:p w:rsidR="00A21FF4" w:rsidRPr="00F252C1" w:rsidRDefault="00A21FF4" w:rsidP="00F252C1">
      <w:pPr>
        <w:pStyle w:val="ListParagraph"/>
        <w:numPr>
          <w:ilvl w:val="0"/>
          <w:numId w:val="30"/>
        </w:numPr>
        <w:spacing w:after="120"/>
        <w:rPr>
          <w:rFonts w:asciiTheme="minorHAnsi" w:hAnsiTheme="minorHAnsi"/>
          <w:color w:val="000000" w:themeColor="text1"/>
          <w:sz w:val="22"/>
        </w:rPr>
      </w:pPr>
      <w:r w:rsidRPr="00F252C1">
        <w:rPr>
          <w:rFonts w:asciiTheme="minorHAnsi" w:hAnsiTheme="minorHAnsi"/>
          <w:color w:val="000000" w:themeColor="text1"/>
          <w:sz w:val="22"/>
        </w:rPr>
        <w:t>The licence for Textwall app that facilitates communication between students and lecturers and MCQ voting during teaching was renewed and there are 9</w:t>
      </w:r>
      <w:r w:rsidR="00067D92">
        <w:rPr>
          <w:rFonts w:asciiTheme="minorHAnsi" w:hAnsiTheme="minorHAnsi"/>
          <w:color w:val="000000" w:themeColor="text1"/>
          <w:sz w:val="22"/>
        </w:rPr>
        <w:t>3</w:t>
      </w:r>
      <w:r w:rsidRPr="00F252C1">
        <w:rPr>
          <w:rFonts w:asciiTheme="minorHAnsi" w:hAnsiTheme="minorHAnsi"/>
          <w:color w:val="000000" w:themeColor="text1"/>
          <w:sz w:val="22"/>
        </w:rPr>
        <w:t xml:space="preserve"> staff Textwall account holders at present.</w:t>
      </w:r>
      <w:r w:rsidR="00F252C1">
        <w:rPr>
          <w:rFonts w:asciiTheme="minorHAnsi" w:hAnsiTheme="minorHAnsi"/>
          <w:color w:val="000000" w:themeColor="text1"/>
          <w:sz w:val="22"/>
        </w:rPr>
        <w:t xml:space="preserve"> </w:t>
      </w:r>
    </w:p>
    <w:p w:rsidR="00CE303F" w:rsidRDefault="00CE303F" w:rsidP="00F252C1">
      <w:pPr>
        <w:pStyle w:val="ListParagraph"/>
        <w:numPr>
          <w:ilvl w:val="0"/>
          <w:numId w:val="30"/>
        </w:numPr>
        <w:spacing w:after="120"/>
        <w:rPr>
          <w:rFonts w:asciiTheme="minorHAnsi" w:hAnsiTheme="minorHAnsi"/>
          <w:color w:val="000000" w:themeColor="text1"/>
          <w:sz w:val="22"/>
        </w:rPr>
      </w:pPr>
      <w:r w:rsidRPr="00F252C1">
        <w:rPr>
          <w:rFonts w:asciiTheme="minorHAnsi" w:hAnsiTheme="minorHAnsi"/>
          <w:color w:val="000000" w:themeColor="text1"/>
          <w:sz w:val="22"/>
        </w:rPr>
        <w:t>Faculty tutorial resources to support group work, developed by the Teaching and Learning Academy, are available to SCS staff via the LTA Website</w:t>
      </w:r>
      <w:r w:rsidR="00F252C1">
        <w:rPr>
          <w:rFonts w:asciiTheme="minorHAnsi" w:hAnsiTheme="minorHAnsi"/>
          <w:color w:val="000000" w:themeColor="text1"/>
          <w:sz w:val="22"/>
        </w:rPr>
        <w:t>:</w:t>
      </w:r>
    </w:p>
    <w:p w:rsidR="00F252C1" w:rsidRDefault="00A83D3D" w:rsidP="00F252C1">
      <w:pPr>
        <w:spacing w:after="120"/>
        <w:ind w:left="720"/>
        <w:rPr>
          <w:rFonts w:asciiTheme="minorHAnsi" w:hAnsiTheme="minorHAnsi"/>
          <w:color w:val="000000" w:themeColor="text1"/>
          <w:sz w:val="22"/>
        </w:rPr>
      </w:pPr>
      <w:hyperlink r:id="rId11" w:history="1">
        <w:r w:rsidR="00F252C1" w:rsidRPr="00F80D46">
          <w:rPr>
            <w:rStyle w:val="Hyperlink"/>
            <w:rFonts w:asciiTheme="minorHAnsi" w:hAnsiTheme="minorHAnsi"/>
            <w:sz w:val="22"/>
          </w:rPr>
          <w:t>http://wowie.ljmu.ac.uk/FacultyLTA/Faculty%20Tutorial%20Resources.htm</w:t>
        </w:r>
      </w:hyperlink>
    </w:p>
    <w:p w:rsidR="008F01FA" w:rsidRPr="00F252C1" w:rsidRDefault="008F01FA" w:rsidP="00F252C1">
      <w:pPr>
        <w:pStyle w:val="ListParagraph"/>
        <w:numPr>
          <w:ilvl w:val="0"/>
          <w:numId w:val="30"/>
        </w:numPr>
        <w:spacing w:after="120"/>
        <w:rPr>
          <w:rFonts w:asciiTheme="minorHAnsi" w:hAnsiTheme="minorHAnsi"/>
          <w:color w:val="000000" w:themeColor="text1"/>
          <w:sz w:val="22"/>
        </w:rPr>
      </w:pPr>
      <w:r w:rsidRPr="00F252C1">
        <w:rPr>
          <w:rFonts w:asciiTheme="minorHAnsi" w:hAnsiTheme="minorHAnsi"/>
          <w:color w:val="000000" w:themeColor="text1"/>
          <w:sz w:val="22"/>
        </w:rPr>
        <w:t xml:space="preserve">Focus groups around Personal Tutoring, to be organised by Faculty and LiverpoolSU, did not take place. </w:t>
      </w:r>
      <w:r w:rsidR="00E30150" w:rsidRPr="00F252C1">
        <w:rPr>
          <w:rFonts w:asciiTheme="minorHAnsi" w:hAnsiTheme="minorHAnsi"/>
          <w:color w:val="000000" w:themeColor="text1"/>
          <w:sz w:val="22"/>
        </w:rPr>
        <w:t xml:space="preserve"> After action-planning i</w:t>
      </w:r>
      <w:r w:rsidRPr="00F252C1">
        <w:rPr>
          <w:rFonts w:asciiTheme="minorHAnsi" w:hAnsiTheme="minorHAnsi"/>
          <w:color w:val="000000" w:themeColor="text1"/>
          <w:sz w:val="22"/>
        </w:rPr>
        <w:t xml:space="preserve">t became evident that LiverpoolSU had already run a large scale consultation with students on this matter. </w:t>
      </w:r>
      <w:r w:rsidR="004C517F">
        <w:rPr>
          <w:rFonts w:asciiTheme="minorHAnsi" w:hAnsiTheme="minorHAnsi"/>
          <w:color w:val="000000" w:themeColor="text1"/>
          <w:sz w:val="22"/>
        </w:rPr>
        <w:t xml:space="preserve"> </w:t>
      </w:r>
      <w:r w:rsidRPr="00F252C1">
        <w:rPr>
          <w:rFonts w:asciiTheme="minorHAnsi" w:hAnsiTheme="minorHAnsi"/>
          <w:color w:val="000000" w:themeColor="text1"/>
          <w:sz w:val="22"/>
        </w:rPr>
        <w:t xml:space="preserve">Comments from this have been passed on the ADE(APSS)  who is chairing a review of the Personal Tutoring policy in 2015/16. </w:t>
      </w:r>
    </w:p>
    <w:p w:rsidR="00A21FF4" w:rsidRPr="00F252C1" w:rsidRDefault="00A21FF4" w:rsidP="00F252C1">
      <w:pPr>
        <w:spacing w:after="120"/>
        <w:rPr>
          <w:rFonts w:asciiTheme="minorHAnsi" w:hAnsiTheme="minorHAnsi"/>
          <w:color w:val="000000" w:themeColor="text1"/>
          <w:sz w:val="22"/>
        </w:rPr>
      </w:pPr>
      <w:r w:rsidRPr="00F252C1">
        <w:rPr>
          <w:rFonts w:asciiTheme="minorHAnsi" w:hAnsiTheme="minorHAnsi"/>
          <w:i/>
          <w:color w:val="000000" w:themeColor="text1"/>
          <w:sz w:val="22"/>
        </w:rPr>
        <w:t>Faculty Student Voice Report Action plan 2014/15</w:t>
      </w:r>
    </w:p>
    <w:p w:rsidR="003516E0" w:rsidRPr="00F252C1" w:rsidRDefault="003516E0" w:rsidP="00F252C1">
      <w:pPr>
        <w:pStyle w:val="ListParagraph"/>
        <w:numPr>
          <w:ilvl w:val="0"/>
          <w:numId w:val="30"/>
        </w:numPr>
        <w:spacing w:after="120"/>
        <w:rPr>
          <w:rFonts w:asciiTheme="minorHAnsi" w:hAnsiTheme="minorHAnsi"/>
          <w:color w:val="000000" w:themeColor="text1"/>
          <w:sz w:val="22"/>
        </w:rPr>
      </w:pPr>
      <w:r w:rsidRPr="00F252C1">
        <w:rPr>
          <w:rFonts w:asciiTheme="minorHAnsi" w:hAnsiTheme="minorHAnsi"/>
          <w:color w:val="000000" w:themeColor="text1"/>
          <w:sz w:val="22"/>
        </w:rPr>
        <w:t xml:space="preserve">This action plan was broken down according to the top ten priorities of LIverpoolSU. </w:t>
      </w:r>
      <w:r w:rsidR="004C517F">
        <w:rPr>
          <w:rFonts w:asciiTheme="minorHAnsi" w:hAnsiTheme="minorHAnsi"/>
          <w:color w:val="000000" w:themeColor="text1"/>
          <w:sz w:val="22"/>
        </w:rPr>
        <w:t xml:space="preserve"> </w:t>
      </w:r>
      <w:r w:rsidRPr="00F252C1">
        <w:rPr>
          <w:rFonts w:asciiTheme="minorHAnsi" w:hAnsiTheme="minorHAnsi"/>
          <w:color w:val="000000" w:themeColor="text1"/>
          <w:sz w:val="22"/>
        </w:rPr>
        <w:t xml:space="preserve">It was acknowledged at the time that some of these required institutional action and these matters were referred to the Learning and Teaching Discussion Group (LTDG).  </w:t>
      </w:r>
    </w:p>
    <w:p w:rsidR="00A21FF4" w:rsidRPr="00F252C1" w:rsidRDefault="003516E0" w:rsidP="00F252C1">
      <w:pPr>
        <w:pStyle w:val="ListParagraph"/>
        <w:numPr>
          <w:ilvl w:val="0"/>
          <w:numId w:val="30"/>
        </w:numPr>
        <w:spacing w:after="120"/>
        <w:rPr>
          <w:rFonts w:asciiTheme="minorHAnsi" w:hAnsiTheme="minorHAnsi"/>
          <w:color w:val="000000" w:themeColor="text1"/>
          <w:sz w:val="22"/>
        </w:rPr>
      </w:pPr>
      <w:r w:rsidRPr="00F252C1">
        <w:rPr>
          <w:rFonts w:asciiTheme="minorHAnsi" w:hAnsiTheme="minorHAnsi"/>
          <w:color w:val="000000" w:themeColor="text1"/>
          <w:sz w:val="22"/>
        </w:rPr>
        <w:t xml:space="preserve">A University-wide policy that requires lecture aids and resources to be made available on Blackboard a minimum of 24 hours in advance was a Faculty protocol and is now University policy. </w:t>
      </w:r>
    </w:p>
    <w:p w:rsidR="003516E0" w:rsidRDefault="00BB19FC" w:rsidP="00F252C1">
      <w:pPr>
        <w:pStyle w:val="ListParagraph"/>
        <w:numPr>
          <w:ilvl w:val="0"/>
          <w:numId w:val="30"/>
        </w:numPr>
        <w:spacing w:after="120"/>
        <w:rPr>
          <w:rFonts w:asciiTheme="minorHAnsi" w:hAnsiTheme="minorHAnsi"/>
          <w:color w:val="000000" w:themeColor="text1"/>
          <w:sz w:val="22"/>
        </w:rPr>
      </w:pPr>
      <w:r w:rsidRPr="00F252C1">
        <w:rPr>
          <w:rFonts w:asciiTheme="minorHAnsi" w:hAnsiTheme="minorHAnsi"/>
          <w:color w:val="000000" w:themeColor="text1"/>
          <w:sz w:val="22"/>
        </w:rPr>
        <w:t xml:space="preserve">To enhance academic support, Science staff are now asked to advertise four hours of availability per week via a clip frame next to their office door. </w:t>
      </w:r>
      <w:r w:rsidR="00E30150" w:rsidRPr="00F252C1">
        <w:rPr>
          <w:rFonts w:asciiTheme="minorHAnsi" w:hAnsiTheme="minorHAnsi"/>
          <w:color w:val="000000" w:themeColor="text1"/>
          <w:sz w:val="22"/>
        </w:rPr>
        <w:t xml:space="preserve"> </w:t>
      </w:r>
      <w:r w:rsidRPr="00F252C1">
        <w:rPr>
          <w:rFonts w:asciiTheme="minorHAnsi" w:hAnsiTheme="minorHAnsi"/>
          <w:color w:val="000000" w:themeColor="text1"/>
          <w:sz w:val="22"/>
        </w:rPr>
        <w:t>This may be through a calendar or via a web</w:t>
      </w:r>
      <w:r w:rsidR="002E2415" w:rsidRPr="00F252C1">
        <w:rPr>
          <w:rFonts w:asciiTheme="minorHAnsi" w:hAnsiTheme="minorHAnsi"/>
          <w:color w:val="000000" w:themeColor="text1"/>
          <w:sz w:val="22"/>
        </w:rPr>
        <w:t xml:space="preserve"> </w:t>
      </w:r>
      <w:r w:rsidRPr="00F252C1">
        <w:rPr>
          <w:rFonts w:asciiTheme="minorHAnsi" w:hAnsiTheme="minorHAnsi"/>
          <w:color w:val="000000" w:themeColor="text1"/>
          <w:sz w:val="22"/>
        </w:rPr>
        <w:t>link to an electronic booking system.</w:t>
      </w:r>
    </w:p>
    <w:p w:rsidR="00F252C1" w:rsidRDefault="00A83D3D" w:rsidP="00F252C1">
      <w:pPr>
        <w:spacing w:after="120"/>
        <w:ind w:left="720"/>
        <w:rPr>
          <w:rFonts w:asciiTheme="minorHAnsi" w:hAnsiTheme="minorHAnsi"/>
          <w:color w:val="000000" w:themeColor="text1"/>
          <w:sz w:val="22"/>
        </w:rPr>
      </w:pPr>
      <w:hyperlink r:id="rId12" w:history="1">
        <w:r w:rsidR="00F252C1" w:rsidRPr="00F80D46">
          <w:rPr>
            <w:rStyle w:val="Hyperlink"/>
            <w:rFonts w:asciiTheme="minorHAnsi" w:hAnsiTheme="minorHAnsi"/>
            <w:sz w:val="22"/>
          </w:rPr>
          <w:t>http://wowie.ljmu.ac.uk/FacultyLTA/Availability%20advertising.docx</w:t>
        </w:r>
      </w:hyperlink>
    </w:p>
    <w:p w:rsidR="00F252C1" w:rsidRPr="00F252C1" w:rsidRDefault="00F252C1" w:rsidP="00F252C1">
      <w:pPr>
        <w:spacing w:after="120"/>
        <w:ind w:left="720"/>
        <w:rPr>
          <w:rFonts w:asciiTheme="minorHAnsi" w:hAnsiTheme="minorHAnsi"/>
          <w:color w:val="000000" w:themeColor="text1"/>
          <w:sz w:val="22"/>
        </w:rPr>
      </w:pPr>
    </w:p>
    <w:p w:rsidR="00BB19FC" w:rsidRPr="00F252C1" w:rsidRDefault="00BB19FC" w:rsidP="00F252C1">
      <w:pPr>
        <w:pStyle w:val="ListParagraph"/>
        <w:numPr>
          <w:ilvl w:val="0"/>
          <w:numId w:val="30"/>
        </w:numPr>
        <w:spacing w:after="120"/>
        <w:rPr>
          <w:rFonts w:asciiTheme="minorHAnsi" w:hAnsiTheme="minorHAnsi"/>
          <w:color w:val="000000" w:themeColor="text1"/>
          <w:sz w:val="22"/>
        </w:rPr>
      </w:pPr>
      <w:r w:rsidRPr="00F252C1">
        <w:rPr>
          <w:rFonts w:asciiTheme="minorHAnsi" w:hAnsiTheme="minorHAnsi"/>
          <w:color w:val="000000" w:themeColor="text1"/>
          <w:sz w:val="22"/>
        </w:rPr>
        <w:lastRenderedPageBreak/>
        <w:t>The ADE has reviewed induction processes with respect to assignment guidance to facilitate transition into higher educ</w:t>
      </w:r>
      <w:r w:rsidR="003A2F02" w:rsidRPr="00F252C1">
        <w:rPr>
          <w:rFonts w:asciiTheme="minorHAnsi" w:hAnsiTheme="minorHAnsi"/>
          <w:color w:val="000000" w:themeColor="text1"/>
          <w:sz w:val="22"/>
        </w:rPr>
        <w:t>a</w:t>
      </w:r>
      <w:r w:rsidRPr="00F252C1">
        <w:rPr>
          <w:rFonts w:asciiTheme="minorHAnsi" w:hAnsiTheme="minorHAnsi"/>
          <w:color w:val="000000" w:themeColor="text1"/>
          <w:sz w:val="22"/>
        </w:rPr>
        <w:t>tion.</w:t>
      </w:r>
      <w:r w:rsidR="00A21FF4" w:rsidRPr="00F252C1">
        <w:rPr>
          <w:rFonts w:asciiTheme="minorHAnsi" w:hAnsiTheme="minorHAnsi"/>
          <w:color w:val="000000" w:themeColor="text1"/>
          <w:sz w:val="22"/>
        </w:rPr>
        <w:t xml:space="preserve"> </w:t>
      </w:r>
      <w:r w:rsidRPr="00F252C1">
        <w:rPr>
          <w:rFonts w:asciiTheme="minorHAnsi" w:hAnsiTheme="minorHAnsi"/>
          <w:color w:val="000000" w:themeColor="text1"/>
          <w:sz w:val="22"/>
        </w:rPr>
        <w:t xml:space="preserve"> </w:t>
      </w:r>
      <w:r w:rsidR="00A21FF4" w:rsidRPr="00F252C1">
        <w:rPr>
          <w:rFonts w:asciiTheme="minorHAnsi" w:hAnsiTheme="minorHAnsi"/>
          <w:color w:val="000000" w:themeColor="text1"/>
          <w:sz w:val="22"/>
        </w:rPr>
        <w:t>T</w:t>
      </w:r>
      <w:r w:rsidRPr="00F252C1">
        <w:rPr>
          <w:rFonts w:asciiTheme="minorHAnsi" w:hAnsiTheme="minorHAnsi"/>
          <w:color w:val="000000" w:themeColor="text1"/>
          <w:sz w:val="22"/>
        </w:rPr>
        <w:t>he first session</w:t>
      </w:r>
      <w:r w:rsidR="00A21FF4" w:rsidRPr="00F252C1">
        <w:rPr>
          <w:rFonts w:asciiTheme="minorHAnsi" w:hAnsiTheme="minorHAnsi"/>
          <w:color w:val="000000" w:themeColor="text1"/>
          <w:sz w:val="22"/>
        </w:rPr>
        <w:t xml:space="preserve"> in all modules </w:t>
      </w:r>
      <w:r w:rsidRPr="00F252C1">
        <w:rPr>
          <w:rFonts w:asciiTheme="minorHAnsi" w:hAnsiTheme="minorHAnsi"/>
          <w:color w:val="000000" w:themeColor="text1"/>
          <w:sz w:val="22"/>
        </w:rPr>
        <w:t>is used</w:t>
      </w:r>
      <w:r w:rsidR="00A21FF4" w:rsidRPr="00F252C1">
        <w:rPr>
          <w:rFonts w:asciiTheme="minorHAnsi" w:hAnsiTheme="minorHAnsi"/>
          <w:color w:val="000000" w:themeColor="text1"/>
          <w:sz w:val="22"/>
        </w:rPr>
        <w:t xml:space="preserve"> in part</w:t>
      </w:r>
      <w:r w:rsidRPr="00F252C1">
        <w:rPr>
          <w:rFonts w:asciiTheme="minorHAnsi" w:hAnsiTheme="minorHAnsi"/>
          <w:color w:val="000000" w:themeColor="text1"/>
          <w:sz w:val="22"/>
        </w:rPr>
        <w:t xml:space="preserve"> to </w:t>
      </w:r>
      <w:r w:rsidR="00A21FF4" w:rsidRPr="00F252C1">
        <w:rPr>
          <w:rFonts w:asciiTheme="minorHAnsi" w:hAnsiTheme="minorHAnsi"/>
          <w:color w:val="000000" w:themeColor="text1"/>
          <w:sz w:val="22"/>
        </w:rPr>
        <w:t>introduce</w:t>
      </w:r>
      <w:r w:rsidRPr="00F252C1">
        <w:rPr>
          <w:rFonts w:asciiTheme="minorHAnsi" w:hAnsiTheme="minorHAnsi"/>
          <w:color w:val="000000" w:themeColor="text1"/>
          <w:sz w:val="22"/>
        </w:rPr>
        <w:t xml:space="preserve"> the module, and a Faculty template </w:t>
      </w:r>
      <w:r w:rsidR="00A21FF4" w:rsidRPr="00F252C1">
        <w:rPr>
          <w:rFonts w:asciiTheme="minorHAnsi" w:hAnsiTheme="minorHAnsi"/>
          <w:color w:val="000000" w:themeColor="text1"/>
          <w:sz w:val="22"/>
        </w:rPr>
        <w:t xml:space="preserve">for module handbooks </w:t>
      </w:r>
      <w:r w:rsidRPr="00F252C1">
        <w:rPr>
          <w:rFonts w:asciiTheme="minorHAnsi" w:hAnsiTheme="minorHAnsi"/>
          <w:color w:val="000000" w:themeColor="text1"/>
          <w:sz w:val="22"/>
        </w:rPr>
        <w:t>has been circulated that</w:t>
      </w:r>
      <w:r w:rsidR="003A2F02" w:rsidRPr="00F252C1">
        <w:rPr>
          <w:rFonts w:asciiTheme="minorHAnsi" w:hAnsiTheme="minorHAnsi"/>
          <w:color w:val="000000" w:themeColor="text1"/>
          <w:sz w:val="22"/>
        </w:rPr>
        <w:t xml:space="preserve"> asks module leaders to relate the assessment criteria used on the module</w:t>
      </w:r>
      <w:r w:rsidRPr="00F252C1">
        <w:rPr>
          <w:rFonts w:asciiTheme="minorHAnsi" w:hAnsiTheme="minorHAnsi"/>
          <w:color w:val="000000" w:themeColor="text1"/>
          <w:sz w:val="22"/>
        </w:rPr>
        <w:t xml:space="preserve">.  </w:t>
      </w:r>
    </w:p>
    <w:p w:rsidR="00A21FF4" w:rsidRPr="00F252C1" w:rsidRDefault="00A21FF4" w:rsidP="00F252C1">
      <w:pPr>
        <w:pStyle w:val="ListParagraph"/>
        <w:numPr>
          <w:ilvl w:val="0"/>
          <w:numId w:val="30"/>
        </w:numPr>
        <w:spacing w:after="120"/>
        <w:rPr>
          <w:rFonts w:asciiTheme="minorHAnsi" w:hAnsiTheme="minorHAnsi"/>
          <w:color w:val="000000" w:themeColor="text1"/>
          <w:sz w:val="22"/>
        </w:rPr>
      </w:pPr>
      <w:r w:rsidRPr="00F252C1">
        <w:rPr>
          <w:rFonts w:asciiTheme="minorHAnsi" w:hAnsiTheme="minorHAnsi"/>
          <w:color w:val="000000" w:themeColor="text1"/>
          <w:sz w:val="22"/>
        </w:rPr>
        <w:t>The Faculty awaits additional resources to enable the extension of placement support by the Faculty’s Placement Learning Support Unit to all Schools within Science.</w:t>
      </w:r>
    </w:p>
    <w:p w:rsidR="0009532A" w:rsidRPr="00AE059C" w:rsidRDefault="0009532A" w:rsidP="0009532A">
      <w:pPr>
        <w:spacing w:after="120"/>
        <w:rPr>
          <w:rFonts w:asciiTheme="minorHAnsi" w:hAnsiTheme="minorHAnsi"/>
          <w:i/>
          <w:color w:val="000000" w:themeColor="text1"/>
          <w:sz w:val="22"/>
        </w:rPr>
      </w:pPr>
      <w:r>
        <w:rPr>
          <w:rFonts w:asciiTheme="minorHAnsi" w:hAnsiTheme="minorHAnsi"/>
          <w:i/>
          <w:color w:val="000000" w:themeColor="text1"/>
          <w:sz w:val="22"/>
        </w:rPr>
        <w:t>Faculty LTA Action plan 2014/15</w:t>
      </w:r>
    </w:p>
    <w:p w:rsidR="00F252C1" w:rsidRPr="00F252C1" w:rsidRDefault="00A21FF4" w:rsidP="00F252C1">
      <w:pPr>
        <w:pStyle w:val="ListParagraph"/>
        <w:numPr>
          <w:ilvl w:val="0"/>
          <w:numId w:val="31"/>
        </w:numPr>
        <w:spacing w:after="120"/>
        <w:rPr>
          <w:rFonts w:asciiTheme="minorHAnsi" w:hAnsiTheme="minorHAnsi"/>
          <w:color w:val="000000" w:themeColor="text1"/>
          <w:sz w:val="22"/>
        </w:rPr>
      </w:pPr>
      <w:r w:rsidRPr="00F252C1">
        <w:rPr>
          <w:rFonts w:asciiTheme="minorHAnsi" w:hAnsiTheme="minorHAnsi"/>
          <w:color w:val="000000" w:themeColor="text1"/>
          <w:sz w:val="22"/>
        </w:rPr>
        <w:t>The inaugural annual Faculty LTA development day was held on</w:t>
      </w:r>
      <w:r w:rsidR="00055716" w:rsidRPr="00F252C1">
        <w:rPr>
          <w:rFonts w:asciiTheme="minorHAnsi" w:hAnsiTheme="minorHAnsi"/>
          <w:color w:val="000000" w:themeColor="text1"/>
          <w:sz w:val="22"/>
        </w:rPr>
        <w:t xml:space="preserve"> Monday 15</w:t>
      </w:r>
      <w:r w:rsidR="00055716" w:rsidRPr="00F252C1">
        <w:rPr>
          <w:rFonts w:asciiTheme="minorHAnsi" w:hAnsiTheme="minorHAnsi"/>
          <w:color w:val="000000" w:themeColor="text1"/>
          <w:sz w:val="22"/>
          <w:vertAlign w:val="superscript"/>
        </w:rPr>
        <w:t>th</w:t>
      </w:r>
      <w:r w:rsidR="00055716" w:rsidRPr="00F252C1">
        <w:rPr>
          <w:rFonts w:asciiTheme="minorHAnsi" w:hAnsiTheme="minorHAnsi"/>
          <w:color w:val="000000" w:themeColor="text1"/>
          <w:sz w:val="22"/>
        </w:rPr>
        <w:t xml:space="preserve"> December and attracted 27 members</w:t>
      </w:r>
      <w:r w:rsidR="00CE303F" w:rsidRPr="00F252C1">
        <w:rPr>
          <w:rFonts w:asciiTheme="minorHAnsi" w:hAnsiTheme="minorHAnsi"/>
          <w:color w:val="000000" w:themeColor="text1"/>
          <w:sz w:val="22"/>
        </w:rPr>
        <w:t xml:space="preserve"> of staff</w:t>
      </w:r>
      <w:r w:rsidR="00055716" w:rsidRPr="00F252C1">
        <w:rPr>
          <w:rFonts w:asciiTheme="minorHAnsi" w:hAnsiTheme="minorHAnsi"/>
          <w:color w:val="000000" w:themeColor="text1"/>
          <w:sz w:val="22"/>
        </w:rPr>
        <w:t xml:space="preserve">. </w:t>
      </w:r>
      <w:hyperlink r:id="rId13" w:history="1">
        <w:r w:rsidR="00F252C1" w:rsidRPr="00F252C1">
          <w:rPr>
            <w:rStyle w:val="Hyperlink"/>
            <w:rFonts w:asciiTheme="minorHAnsi" w:hAnsiTheme="minorHAnsi"/>
          </w:rPr>
          <w:t>http://wowie.ljmu.ac.uk/FacultyLTA/Staff%20Development%20Day%2015%2012%2014.htm</w:t>
        </w:r>
      </w:hyperlink>
    </w:p>
    <w:p w:rsidR="00055716" w:rsidRPr="00F252C1" w:rsidRDefault="00055716" w:rsidP="00F252C1">
      <w:pPr>
        <w:spacing w:after="120"/>
        <w:ind w:left="720"/>
        <w:rPr>
          <w:rFonts w:asciiTheme="minorHAnsi" w:hAnsiTheme="minorHAnsi"/>
          <w:color w:val="000000" w:themeColor="text1"/>
          <w:sz w:val="22"/>
        </w:rPr>
      </w:pPr>
      <w:r w:rsidRPr="00F252C1">
        <w:rPr>
          <w:rFonts w:asciiTheme="minorHAnsi" w:hAnsiTheme="minorHAnsi"/>
          <w:color w:val="000000" w:themeColor="text1"/>
          <w:sz w:val="22"/>
        </w:rPr>
        <w:t>An evaluation form was circulated and responses from 20 staff reported an average satisfaction of 78% with event.</w:t>
      </w:r>
      <w:r w:rsidR="00326FAC">
        <w:rPr>
          <w:rFonts w:asciiTheme="minorHAnsi" w:hAnsiTheme="minorHAnsi"/>
          <w:color w:val="000000" w:themeColor="text1"/>
          <w:sz w:val="22"/>
        </w:rPr>
        <w:t xml:space="preserve"> </w:t>
      </w:r>
      <w:r w:rsidRPr="00F252C1">
        <w:rPr>
          <w:rFonts w:asciiTheme="minorHAnsi" w:hAnsiTheme="minorHAnsi"/>
          <w:color w:val="000000" w:themeColor="text1"/>
          <w:sz w:val="22"/>
        </w:rPr>
        <w:t xml:space="preserve"> </w:t>
      </w:r>
      <w:r w:rsidR="00CE303F" w:rsidRPr="00F252C1">
        <w:rPr>
          <w:rFonts w:asciiTheme="minorHAnsi" w:hAnsiTheme="minorHAnsi"/>
          <w:color w:val="000000" w:themeColor="text1"/>
          <w:sz w:val="22"/>
        </w:rPr>
        <w:t xml:space="preserve">In response to feedback, the event will be moved to January this year </w:t>
      </w:r>
      <w:r w:rsidR="00326FAC">
        <w:rPr>
          <w:rFonts w:asciiTheme="minorHAnsi" w:hAnsiTheme="minorHAnsi"/>
          <w:color w:val="000000" w:themeColor="text1"/>
          <w:sz w:val="22"/>
        </w:rPr>
        <w:t xml:space="preserve">(TBC) </w:t>
      </w:r>
      <w:r w:rsidR="00CE303F" w:rsidRPr="00F252C1">
        <w:rPr>
          <w:rFonts w:asciiTheme="minorHAnsi" w:hAnsiTheme="minorHAnsi"/>
          <w:color w:val="000000" w:themeColor="text1"/>
          <w:sz w:val="22"/>
        </w:rPr>
        <w:t>and there will be more opportunities for discussion.</w:t>
      </w:r>
    </w:p>
    <w:p w:rsidR="00CE303F" w:rsidRPr="00F252C1" w:rsidRDefault="00CE303F" w:rsidP="00F252C1">
      <w:pPr>
        <w:pStyle w:val="ListParagraph"/>
        <w:numPr>
          <w:ilvl w:val="0"/>
          <w:numId w:val="31"/>
        </w:numPr>
        <w:spacing w:after="120"/>
        <w:rPr>
          <w:rFonts w:asciiTheme="minorHAnsi" w:hAnsiTheme="minorHAnsi"/>
          <w:color w:val="000000" w:themeColor="text1"/>
          <w:sz w:val="22"/>
        </w:rPr>
      </w:pPr>
      <w:r w:rsidRPr="00F252C1">
        <w:rPr>
          <w:rFonts w:asciiTheme="minorHAnsi" w:hAnsiTheme="minorHAnsi"/>
          <w:color w:val="000000" w:themeColor="text1"/>
          <w:sz w:val="22"/>
        </w:rPr>
        <w:t xml:space="preserve">The language of the NSS was adopted in the assessment section of Module Guides through the provision of an agreed template.  This also led to greater consistency in the manner in which assessment and feedback information was conveyed. </w:t>
      </w:r>
      <w:r w:rsidR="00F14723">
        <w:rPr>
          <w:rFonts w:asciiTheme="minorHAnsi" w:hAnsiTheme="minorHAnsi"/>
          <w:color w:val="000000" w:themeColor="text1"/>
          <w:sz w:val="22"/>
        </w:rPr>
        <w:t xml:space="preserve"> </w:t>
      </w:r>
      <w:r w:rsidRPr="00F252C1">
        <w:rPr>
          <w:rFonts w:asciiTheme="minorHAnsi" w:hAnsiTheme="minorHAnsi"/>
          <w:color w:val="000000" w:themeColor="text1"/>
          <w:sz w:val="22"/>
        </w:rPr>
        <w:t xml:space="preserve">Through the hard work of staff in the Faculty, the 2015 NSS </w:t>
      </w:r>
      <w:r w:rsidR="001D2EEF" w:rsidRPr="00F252C1">
        <w:rPr>
          <w:rFonts w:asciiTheme="minorHAnsi" w:hAnsiTheme="minorHAnsi"/>
          <w:color w:val="000000" w:themeColor="text1"/>
          <w:sz w:val="22"/>
        </w:rPr>
        <w:t>‘</w:t>
      </w:r>
      <w:r w:rsidRPr="00F252C1">
        <w:rPr>
          <w:rFonts w:asciiTheme="minorHAnsi" w:hAnsiTheme="minorHAnsi"/>
          <w:color w:val="000000" w:themeColor="text1"/>
          <w:sz w:val="22"/>
        </w:rPr>
        <w:t>Assessment and Feedback</w:t>
      </w:r>
      <w:r w:rsidR="001D2EEF" w:rsidRPr="00F252C1">
        <w:rPr>
          <w:rFonts w:asciiTheme="minorHAnsi" w:hAnsiTheme="minorHAnsi"/>
          <w:color w:val="000000" w:themeColor="text1"/>
          <w:sz w:val="22"/>
        </w:rPr>
        <w:t>’</w:t>
      </w:r>
      <w:r w:rsidRPr="00F252C1">
        <w:rPr>
          <w:rFonts w:asciiTheme="minorHAnsi" w:hAnsiTheme="minorHAnsi"/>
          <w:color w:val="000000" w:themeColor="text1"/>
          <w:sz w:val="22"/>
        </w:rPr>
        <w:t xml:space="preserve"> score surpasses the target set last year, </w:t>
      </w:r>
      <w:r w:rsidR="001D2EEF" w:rsidRPr="00F252C1">
        <w:rPr>
          <w:rFonts w:asciiTheme="minorHAnsi" w:hAnsiTheme="minorHAnsi"/>
          <w:color w:val="000000" w:themeColor="text1"/>
          <w:sz w:val="22"/>
        </w:rPr>
        <w:t xml:space="preserve">now </w:t>
      </w:r>
      <w:r w:rsidRPr="00F252C1">
        <w:rPr>
          <w:rFonts w:asciiTheme="minorHAnsi" w:hAnsiTheme="minorHAnsi"/>
          <w:color w:val="000000" w:themeColor="text1"/>
          <w:sz w:val="22"/>
        </w:rPr>
        <w:t>being 1% about the LJMU average.</w:t>
      </w:r>
    </w:p>
    <w:p w:rsidR="008F01FA" w:rsidRPr="00F252C1" w:rsidRDefault="008F01FA" w:rsidP="00F252C1">
      <w:pPr>
        <w:pStyle w:val="ListParagraph"/>
        <w:numPr>
          <w:ilvl w:val="0"/>
          <w:numId w:val="31"/>
        </w:numPr>
        <w:spacing w:after="120"/>
        <w:rPr>
          <w:rFonts w:asciiTheme="minorHAnsi" w:hAnsiTheme="minorHAnsi"/>
          <w:color w:val="000000" w:themeColor="text1"/>
          <w:sz w:val="22"/>
        </w:rPr>
      </w:pPr>
      <w:r w:rsidRPr="00F252C1">
        <w:rPr>
          <w:rFonts w:asciiTheme="minorHAnsi" w:hAnsiTheme="minorHAnsi"/>
          <w:color w:val="000000" w:themeColor="text1"/>
          <w:sz w:val="22"/>
        </w:rPr>
        <w:t xml:space="preserve">Focus groups around </w:t>
      </w:r>
      <w:r w:rsidR="001D2EEF" w:rsidRPr="00F252C1">
        <w:rPr>
          <w:rFonts w:asciiTheme="minorHAnsi" w:hAnsiTheme="minorHAnsi"/>
          <w:color w:val="000000" w:themeColor="text1"/>
          <w:sz w:val="22"/>
        </w:rPr>
        <w:t>‘</w:t>
      </w:r>
      <w:r w:rsidRPr="00F252C1">
        <w:rPr>
          <w:rFonts w:asciiTheme="minorHAnsi" w:hAnsiTheme="minorHAnsi"/>
          <w:color w:val="000000" w:themeColor="text1"/>
          <w:sz w:val="22"/>
        </w:rPr>
        <w:t>Teaching on my Course</w:t>
      </w:r>
      <w:r w:rsidR="001D2EEF" w:rsidRPr="00F252C1">
        <w:rPr>
          <w:rFonts w:asciiTheme="minorHAnsi" w:hAnsiTheme="minorHAnsi"/>
          <w:color w:val="000000" w:themeColor="text1"/>
          <w:sz w:val="22"/>
        </w:rPr>
        <w:t>’</w:t>
      </w:r>
      <w:r w:rsidRPr="00F252C1">
        <w:rPr>
          <w:rFonts w:asciiTheme="minorHAnsi" w:hAnsiTheme="minorHAnsi"/>
          <w:color w:val="000000" w:themeColor="text1"/>
          <w:sz w:val="22"/>
        </w:rPr>
        <w:t xml:space="preserve">, to be organised by Faculty and LiverpoolSU, did not take place. </w:t>
      </w:r>
      <w:r w:rsidR="00E30150" w:rsidRPr="00F252C1">
        <w:rPr>
          <w:rFonts w:asciiTheme="minorHAnsi" w:hAnsiTheme="minorHAnsi"/>
          <w:color w:val="000000" w:themeColor="text1"/>
          <w:sz w:val="22"/>
        </w:rPr>
        <w:t xml:space="preserve"> On reflection, it</w:t>
      </w:r>
      <w:r w:rsidRPr="00F252C1">
        <w:rPr>
          <w:rFonts w:asciiTheme="minorHAnsi" w:hAnsiTheme="minorHAnsi"/>
          <w:color w:val="000000" w:themeColor="text1"/>
          <w:sz w:val="22"/>
        </w:rPr>
        <w:t xml:space="preserve"> was felt that student issues around teaching are well-known and that resources would </w:t>
      </w:r>
      <w:r w:rsidR="001D2EEF" w:rsidRPr="00F252C1">
        <w:rPr>
          <w:rFonts w:asciiTheme="minorHAnsi" w:hAnsiTheme="minorHAnsi"/>
          <w:color w:val="000000" w:themeColor="text1"/>
          <w:sz w:val="22"/>
        </w:rPr>
        <w:t xml:space="preserve">instead </w:t>
      </w:r>
      <w:r w:rsidRPr="00F252C1">
        <w:rPr>
          <w:rFonts w:asciiTheme="minorHAnsi" w:hAnsiTheme="minorHAnsi"/>
          <w:color w:val="000000" w:themeColor="text1"/>
          <w:sz w:val="22"/>
        </w:rPr>
        <w:t xml:space="preserve">be better spent developing resources to support the introduction on the new </w:t>
      </w:r>
      <w:r w:rsidR="00F14723">
        <w:rPr>
          <w:rFonts w:asciiTheme="minorHAnsi" w:hAnsiTheme="minorHAnsi"/>
          <w:color w:val="000000" w:themeColor="text1"/>
          <w:sz w:val="22"/>
        </w:rPr>
        <w:t xml:space="preserve">Teaching Observation </w:t>
      </w:r>
      <w:r w:rsidRPr="00F252C1">
        <w:rPr>
          <w:rFonts w:asciiTheme="minorHAnsi" w:hAnsiTheme="minorHAnsi"/>
          <w:color w:val="000000" w:themeColor="text1"/>
          <w:sz w:val="22"/>
        </w:rPr>
        <w:t xml:space="preserve">scheme from September 2015.  </w:t>
      </w:r>
      <w:r w:rsidR="001D2EEF" w:rsidRPr="00F252C1">
        <w:rPr>
          <w:rFonts w:asciiTheme="minorHAnsi" w:hAnsiTheme="minorHAnsi"/>
          <w:color w:val="000000" w:themeColor="text1"/>
          <w:sz w:val="22"/>
        </w:rPr>
        <w:t xml:space="preserve">It was pleasing that the </w:t>
      </w:r>
      <w:r w:rsidRPr="00F252C1">
        <w:rPr>
          <w:rFonts w:asciiTheme="minorHAnsi" w:hAnsiTheme="minorHAnsi"/>
          <w:color w:val="000000" w:themeColor="text1"/>
          <w:sz w:val="22"/>
        </w:rPr>
        <w:t xml:space="preserve">target set </w:t>
      </w:r>
      <w:r w:rsidR="001D2EEF" w:rsidRPr="00F252C1">
        <w:rPr>
          <w:rFonts w:asciiTheme="minorHAnsi" w:hAnsiTheme="minorHAnsi"/>
          <w:color w:val="000000" w:themeColor="text1"/>
          <w:sz w:val="22"/>
        </w:rPr>
        <w:t xml:space="preserve">last year </w:t>
      </w:r>
      <w:r w:rsidRPr="00F252C1">
        <w:rPr>
          <w:rFonts w:asciiTheme="minorHAnsi" w:hAnsiTheme="minorHAnsi"/>
          <w:color w:val="000000" w:themeColor="text1"/>
          <w:sz w:val="22"/>
        </w:rPr>
        <w:t xml:space="preserve">was met and NSS </w:t>
      </w:r>
      <w:r w:rsidR="001D2EEF" w:rsidRPr="00F252C1">
        <w:rPr>
          <w:rFonts w:asciiTheme="minorHAnsi" w:hAnsiTheme="minorHAnsi"/>
          <w:color w:val="000000" w:themeColor="text1"/>
          <w:sz w:val="22"/>
        </w:rPr>
        <w:t>‘</w:t>
      </w:r>
      <w:r w:rsidRPr="00F252C1">
        <w:rPr>
          <w:rFonts w:asciiTheme="minorHAnsi" w:hAnsiTheme="minorHAnsi"/>
          <w:color w:val="000000" w:themeColor="text1"/>
          <w:sz w:val="22"/>
        </w:rPr>
        <w:t>Teaching on my Course</w:t>
      </w:r>
      <w:r w:rsidR="001D2EEF" w:rsidRPr="00F252C1">
        <w:rPr>
          <w:rFonts w:asciiTheme="minorHAnsi" w:hAnsiTheme="minorHAnsi"/>
          <w:color w:val="000000" w:themeColor="text1"/>
          <w:sz w:val="22"/>
        </w:rPr>
        <w:t>’</w:t>
      </w:r>
      <w:r w:rsidRPr="00F252C1">
        <w:rPr>
          <w:rFonts w:asciiTheme="minorHAnsi" w:hAnsiTheme="minorHAnsi"/>
          <w:color w:val="000000" w:themeColor="text1"/>
          <w:sz w:val="22"/>
        </w:rPr>
        <w:t xml:space="preserve"> scores rose by 3% within the Faculty from 2014 to 2015.</w:t>
      </w:r>
    </w:p>
    <w:p w:rsidR="00E30150" w:rsidRPr="00F252C1" w:rsidRDefault="00E30150" w:rsidP="00F252C1">
      <w:pPr>
        <w:pStyle w:val="ListParagraph"/>
        <w:numPr>
          <w:ilvl w:val="0"/>
          <w:numId w:val="31"/>
        </w:numPr>
        <w:spacing w:after="120"/>
        <w:rPr>
          <w:rFonts w:asciiTheme="minorHAnsi" w:hAnsiTheme="minorHAnsi"/>
          <w:color w:val="000000" w:themeColor="text1"/>
          <w:sz w:val="22"/>
        </w:rPr>
      </w:pPr>
      <w:r w:rsidRPr="00F252C1">
        <w:rPr>
          <w:rFonts w:asciiTheme="minorHAnsi" w:hAnsiTheme="minorHAnsi"/>
          <w:color w:val="000000" w:themeColor="text1"/>
          <w:sz w:val="22"/>
        </w:rPr>
        <w:t>An app to facilitate student use of the Textwall  student response system was developed</w:t>
      </w:r>
      <w:r w:rsidR="004C4357">
        <w:rPr>
          <w:rFonts w:asciiTheme="minorHAnsi" w:hAnsiTheme="minorHAnsi"/>
          <w:color w:val="000000" w:themeColor="text1"/>
          <w:sz w:val="22"/>
        </w:rPr>
        <w:t xml:space="preserve"> in collaboration with TAE</w:t>
      </w:r>
      <w:r w:rsidRPr="00F252C1">
        <w:rPr>
          <w:rFonts w:asciiTheme="minorHAnsi" w:hAnsiTheme="minorHAnsi"/>
          <w:color w:val="000000" w:themeColor="text1"/>
          <w:sz w:val="22"/>
        </w:rPr>
        <w:t xml:space="preserve">. </w:t>
      </w:r>
      <w:r w:rsidR="00F14723">
        <w:rPr>
          <w:rFonts w:asciiTheme="minorHAnsi" w:hAnsiTheme="minorHAnsi"/>
          <w:color w:val="000000" w:themeColor="text1"/>
          <w:sz w:val="22"/>
        </w:rPr>
        <w:t xml:space="preserve"> </w:t>
      </w:r>
      <w:r w:rsidRPr="00F252C1">
        <w:rPr>
          <w:rFonts w:asciiTheme="minorHAnsi" w:hAnsiTheme="minorHAnsi"/>
          <w:color w:val="000000" w:themeColor="text1"/>
          <w:sz w:val="22"/>
        </w:rPr>
        <w:t>Called MyWallMate, it is available on both the Appstore and Playstore.</w:t>
      </w:r>
      <w:r w:rsidR="00F14723">
        <w:rPr>
          <w:rFonts w:asciiTheme="minorHAnsi" w:hAnsiTheme="minorHAnsi"/>
          <w:color w:val="000000" w:themeColor="text1"/>
          <w:sz w:val="22"/>
        </w:rPr>
        <w:t xml:space="preserve"> </w:t>
      </w:r>
      <w:r w:rsidRPr="00F252C1">
        <w:rPr>
          <w:rFonts w:asciiTheme="minorHAnsi" w:hAnsiTheme="minorHAnsi"/>
          <w:color w:val="000000" w:themeColor="text1"/>
          <w:sz w:val="22"/>
        </w:rPr>
        <w:t xml:space="preserve"> Ideally, this app would have used the application program interface (API) to enable students to easily submit message to Textwall via the dedicate</w:t>
      </w:r>
      <w:r w:rsidR="00185350">
        <w:rPr>
          <w:rFonts w:asciiTheme="minorHAnsi" w:hAnsiTheme="minorHAnsi"/>
          <w:color w:val="000000" w:themeColor="text1"/>
          <w:sz w:val="22"/>
        </w:rPr>
        <w:t>d</w:t>
      </w:r>
      <w:r w:rsidRPr="00F252C1">
        <w:rPr>
          <w:rFonts w:asciiTheme="minorHAnsi" w:hAnsiTheme="minorHAnsi"/>
          <w:color w:val="000000" w:themeColor="text1"/>
          <w:sz w:val="22"/>
        </w:rPr>
        <w:t xml:space="preserve"> webform. Unfortunately, Learning Apps (Textwall’s parent company) did not enable us to do this and so the app relies o</w:t>
      </w:r>
      <w:r w:rsidR="00185350">
        <w:rPr>
          <w:rFonts w:asciiTheme="minorHAnsi" w:hAnsiTheme="minorHAnsi"/>
          <w:color w:val="000000" w:themeColor="text1"/>
          <w:sz w:val="22"/>
        </w:rPr>
        <w:t>n</w:t>
      </w:r>
      <w:r w:rsidRPr="00F252C1">
        <w:rPr>
          <w:rFonts w:asciiTheme="minorHAnsi" w:hAnsiTheme="minorHAnsi"/>
          <w:color w:val="000000" w:themeColor="text1"/>
          <w:sz w:val="22"/>
        </w:rPr>
        <w:t xml:space="preserve"> sending messages to Textwall via email. This works well, but it is not clear how dynamic the system is during peak email hours.</w:t>
      </w:r>
    </w:p>
    <w:p w:rsidR="00E30150" w:rsidRPr="00F252C1" w:rsidRDefault="00E30150" w:rsidP="00F252C1">
      <w:pPr>
        <w:pStyle w:val="ListParagraph"/>
        <w:numPr>
          <w:ilvl w:val="0"/>
          <w:numId w:val="31"/>
        </w:numPr>
        <w:spacing w:after="120"/>
        <w:rPr>
          <w:rFonts w:asciiTheme="minorHAnsi" w:hAnsiTheme="minorHAnsi"/>
          <w:color w:val="000000" w:themeColor="text1"/>
          <w:sz w:val="22"/>
        </w:rPr>
      </w:pPr>
      <w:r w:rsidRPr="00F252C1">
        <w:rPr>
          <w:rFonts w:asciiTheme="minorHAnsi" w:hAnsiTheme="minorHAnsi"/>
          <w:color w:val="000000" w:themeColor="text1"/>
          <w:sz w:val="22"/>
        </w:rPr>
        <w:t xml:space="preserve">A Faculty Pedagogic Research group was established and information on this may be found at the group’s website: </w:t>
      </w:r>
      <w:hyperlink r:id="rId14" w:history="1">
        <w:r w:rsidRPr="00F252C1">
          <w:rPr>
            <w:rStyle w:val="Hyperlink"/>
            <w:rFonts w:asciiTheme="minorHAnsi" w:hAnsiTheme="minorHAnsi"/>
            <w:sz w:val="22"/>
          </w:rPr>
          <w:t>https://www.ljmu.ac.uk/research/centres-and-institutes/faculty-of-science-pedagogic-research-group</w:t>
        </w:r>
      </w:hyperlink>
      <w:r w:rsidRPr="00F252C1">
        <w:rPr>
          <w:rFonts w:asciiTheme="minorHAnsi" w:hAnsiTheme="minorHAnsi"/>
          <w:color w:val="000000" w:themeColor="text1"/>
          <w:sz w:val="22"/>
        </w:rPr>
        <w:t>. The group has met six times to date and meetings include a Journal Club where an article of contemporary relevance in science education is discussed.</w:t>
      </w:r>
      <w:r w:rsidR="006B04AF" w:rsidRPr="00F252C1">
        <w:rPr>
          <w:rFonts w:asciiTheme="minorHAnsi" w:hAnsiTheme="minorHAnsi"/>
          <w:color w:val="000000" w:themeColor="text1"/>
          <w:sz w:val="22"/>
        </w:rPr>
        <w:t xml:space="preserve">  One aim of the group was to increase the number of peer-reviewed pedagogic research publications produced within the Faculty and this rose from three in 2013 to five in 2014.</w:t>
      </w:r>
    </w:p>
    <w:p w:rsidR="00E736B4" w:rsidRPr="00F252C1" w:rsidRDefault="00E736B4" w:rsidP="00F252C1">
      <w:pPr>
        <w:pStyle w:val="ListParagraph"/>
        <w:numPr>
          <w:ilvl w:val="0"/>
          <w:numId w:val="31"/>
        </w:numPr>
        <w:spacing w:after="120"/>
        <w:rPr>
          <w:rFonts w:asciiTheme="minorHAnsi" w:hAnsiTheme="minorHAnsi"/>
          <w:color w:val="000000" w:themeColor="text1"/>
          <w:sz w:val="22"/>
        </w:rPr>
      </w:pPr>
      <w:r w:rsidRPr="00F252C1">
        <w:rPr>
          <w:rFonts w:asciiTheme="minorHAnsi" w:hAnsiTheme="minorHAnsi"/>
          <w:color w:val="000000" w:themeColor="text1"/>
          <w:sz w:val="22"/>
        </w:rPr>
        <w:t>In response to the PTES survey, the skills and personal development framework offered by the Faculty’s WOWSSU was extended to PGT Students.  In 2013/14, the PTES scores for ‘Skill Development’ was 5% below the LJMU mean.  In the 2014/15 PTES, it was 3% above the institutional average.</w:t>
      </w:r>
    </w:p>
    <w:p w:rsidR="00842A91" w:rsidRPr="00AB0C08" w:rsidRDefault="00994F30" w:rsidP="003214BC">
      <w:pPr>
        <w:spacing w:after="0"/>
        <w:rPr>
          <w:rFonts w:asciiTheme="minorHAnsi" w:hAnsiTheme="minorHAnsi" w:cs="Arial"/>
          <w:b/>
          <w:i/>
          <w:sz w:val="16"/>
          <w:szCs w:val="16"/>
        </w:rPr>
      </w:pPr>
      <w:r w:rsidRPr="00AB0C08">
        <w:rPr>
          <w:rFonts w:asciiTheme="minorHAnsi" w:hAnsiTheme="minorHAnsi" w:cs="Arial"/>
          <w:b/>
          <w:i/>
          <w:sz w:val="16"/>
          <w:szCs w:val="16"/>
        </w:rPr>
        <w:lastRenderedPageBreak/>
        <w:t>With reference to the University Strategic Plan</w:t>
      </w:r>
      <w:r w:rsidR="00451265" w:rsidRPr="00AB0C08">
        <w:rPr>
          <w:rFonts w:asciiTheme="minorHAnsi" w:hAnsiTheme="minorHAnsi" w:cs="Arial"/>
          <w:b/>
          <w:i/>
          <w:sz w:val="16"/>
          <w:szCs w:val="16"/>
        </w:rPr>
        <w:t>,</w:t>
      </w:r>
      <w:r w:rsidRPr="00AB0C08">
        <w:rPr>
          <w:rFonts w:asciiTheme="minorHAnsi" w:hAnsiTheme="minorHAnsi" w:cs="Arial"/>
          <w:b/>
          <w:i/>
          <w:sz w:val="16"/>
          <w:szCs w:val="16"/>
        </w:rPr>
        <w:t xml:space="preserve"> </w:t>
      </w:r>
      <w:r w:rsidR="00777811" w:rsidRPr="00AB0C08">
        <w:rPr>
          <w:rFonts w:asciiTheme="minorHAnsi" w:hAnsiTheme="minorHAnsi" w:cs="Arial"/>
          <w:b/>
          <w:i/>
          <w:sz w:val="16"/>
          <w:szCs w:val="16"/>
        </w:rPr>
        <w:t xml:space="preserve">the </w:t>
      </w:r>
      <w:r w:rsidRPr="00AB0C08">
        <w:rPr>
          <w:rFonts w:asciiTheme="minorHAnsi" w:hAnsiTheme="minorHAnsi" w:cs="Arial"/>
          <w:b/>
          <w:i/>
          <w:sz w:val="16"/>
          <w:szCs w:val="16"/>
        </w:rPr>
        <w:t>Learning Teaching and Assessment Strategy and the outcomes of the</w:t>
      </w:r>
      <w:r w:rsidR="00451265" w:rsidRPr="00AB0C08">
        <w:rPr>
          <w:rFonts w:asciiTheme="minorHAnsi" w:hAnsiTheme="minorHAnsi" w:cs="Arial"/>
          <w:b/>
          <w:i/>
          <w:sz w:val="16"/>
          <w:szCs w:val="16"/>
        </w:rPr>
        <w:t xml:space="preserve"> 201</w:t>
      </w:r>
      <w:r w:rsidR="004C517F" w:rsidRPr="00AB0C08">
        <w:rPr>
          <w:rFonts w:asciiTheme="minorHAnsi" w:hAnsiTheme="minorHAnsi" w:cs="Arial"/>
          <w:b/>
          <w:i/>
          <w:sz w:val="16"/>
          <w:szCs w:val="16"/>
        </w:rPr>
        <w:t>5</w:t>
      </w:r>
      <w:r w:rsidR="00451265" w:rsidRPr="00AB0C08">
        <w:rPr>
          <w:rFonts w:asciiTheme="minorHAnsi" w:hAnsiTheme="minorHAnsi" w:cs="Arial"/>
          <w:b/>
          <w:i/>
          <w:sz w:val="16"/>
          <w:szCs w:val="16"/>
        </w:rPr>
        <w:t xml:space="preserve"> </w:t>
      </w:r>
      <w:r w:rsidRPr="00AB0C08">
        <w:rPr>
          <w:rFonts w:asciiTheme="minorHAnsi" w:hAnsiTheme="minorHAnsi" w:cs="Arial"/>
          <w:b/>
          <w:i/>
          <w:sz w:val="16"/>
          <w:szCs w:val="16"/>
        </w:rPr>
        <w:t xml:space="preserve">NSS and LJMU surveys, please outline in the template below how the Faculty will </w:t>
      </w:r>
      <w:r w:rsidR="00451265" w:rsidRPr="00AB0C08">
        <w:rPr>
          <w:rFonts w:asciiTheme="minorHAnsi" w:hAnsiTheme="minorHAnsi" w:cs="Arial"/>
          <w:b/>
          <w:i/>
          <w:sz w:val="16"/>
          <w:szCs w:val="16"/>
        </w:rPr>
        <w:t xml:space="preserve">prioritise and achieve LTA strategic objectives and necessary actions in response to survey outcomes in </w:t>
      </w:r>
      <w:r w:rsidRPr="00AB0C08">
        <w:rPr>
          <w:rFonts w:asciiTheme="minorHAnsi" w:hAnsiTheme="minorHAnsi" w:cs="Arial"/>
          <w:b/>
          <w:i/>
          <w:sz w:val="16"/>
          <w:szCs w:val="16"/>
        </w:rPr>
        <w:t>the 20</w:t>
      </w:r>
      <w:r w:rsidR="00D04B89" w:rsidRPr="00AB0C08">
        <w:rPr>
          <w:rFonts w:asciiTheme="minorHAnsi" w:hAnsiTheme="minorHAnsi" w:cs="Arial"/>
          <w:b/>
          <w:i/>
          <w:sz w:val="16"/>
          <w:szCs w:val="16"/>
        </w:rPr>
        <w:t>1</w:t>
      </w:r>
      <w:r w:rsidR="004C517F" w:rsidRPr="00AB0C08">
        <w:rPr>
          <w:rFonts w:asciiTheme="minorHAnsi" w:hAnsiTheme="minorHAnsi" w:cs="Arial"/>
          <w:b/>
          <w:i/>
          <w:sz w:val="16"/>
          <w:szCs w:val="16"/>
        </w:rPr>
        <w:t>5</w:t>
      </w:r>
      <w:r w:rsidRPr="00AB0C08">
        <w:rPr>
          <w:rFonts w:asciiTheme="minorHAnsi" w:hAnsiTheme="minorHAnsi" w:cs="Arial"/>
          <w:b/>
          <w:i/>
          <w:sz w:val="16"/>
          <w:szCs w:val="16"/>
        </w:rPr>
        <w:t>-1</w:t>
      </w:r>
      <w:r w:rsidR="004C517F" w:rsidRPr="00AB0C08">
        <w:rPr>
          <w:rFonts w:asciiTheme="minorHAnsi" w:hAnsiTheme="minorHAnsi" w:cs="Arial"/>
          <w:b/>
          <w:i/>
          <w:sz w:val="16"/>
          <w:szCs w:val="16"/>
        </w:rPr>
        <w:t>6</w:t>
      </w:r>
      <w:r w:rsidRPr="00AB0C08">
        <w:rPr>
          <w:rFonts w:asciiTheme="minorHAnsi" w:hAnsiTheme="minorHAnsi" w:cs="Arial"/>
          <w:b/>
          <w:i/>
          <w:sz w:val="16"/>
          <w:szCs w:val="16"/>
        </w:rPr>
        <w:t xml:space="preserve"> academic session</w:t>
      </w:r>
      <w:r w:rsidR="00842A91" w:rsidRPr="00AB0C08">
        <w:rPr>
          <w:rFonts w:asciiTheme="minorHAnsi" w:hAnsiTheme="minorHAnsi" w:cs="Arial"/>
          <w:b/>
          <w:i/>
          <w:sz w:val="16"/>
          <w:szCs w:val="16"/>
        </w:rPr>
        <w:t>.</w:t>
      </w:r>
      <w:r w:rsidR="00AF291A" w:rsidRPr="00AB0C08">
        <w:rPr>
          <w:rFonts w:asciiTheme="minorHAnsi" w:hAnsiTheme="minorHAnsi" w:cs="Arial"/>
          <w:b/>
          <w:i/>
          <w:sz w:val="16"/>
          <w:szCs w:val="16"/>
        </w:rPr>
        <w:t xml:space="preserve"> Institutional themes of Teaching and Retention </w:t>
      </w:r>
      <w:r w:rsidR="00647470" w:rsidRPr="00AB0C08">
        <w:rPr>
          <w:rFonts w:asciiTheme="minorHAnsi" w:hAnsiTheme="minorHAnsi" w:cs="Arial"/>
          <w:b/>
          <w:i/>
          <w:sz w:val="16"/>
          <w:szCs w:val="16"/>
        </w:rPr>
        <w:t xml:space="preserve">are </w:t>
      </w:r>
      <w:r w:rsidR="00AF291A" w:rsidRPr="00AB0C08">
        <w:rPr>
          <w:rFonts w:asciiTheme="minorHAnsi" w:hAnsiTheme="minorHAnsi" w:cs="Arial"/>
          <w:b/>
          <w:i/>
          <w:sz w:val="16"/>
          <w:szCs w:val="16"/>
        </w:rPr>
        <w:t>highlighted.</w:t>
      </w:r>
    </w:p>
    <w:p w:rsidR="00842A91" w:rsidRPr="00AB0C08" w:rsidRDefault="00842A91" w:rsidP="003214BC">
      <w:pPr>
        <w:spacing w:after="0"/>
        <w:rPr>
          <w:rFonts w:asciiTheme="minorHAnsi" w:hAnsiTheme="minorHAnsi" w:cs="Arial"/>
          <w:sz w:val="6"/>
          <w:szCs w:val="6"/>
        </w:rPr>
      </w:pPr>
    </w:p>
    <w:tbl>
      <w:tblPr>
        <w:tblStyle w:val="TableGrid"/>
        <w:tblW w:w="14425" w:type="dxa"/>
        <w:tblLayout w:type="fixed"/>
        <w:tblLook w:val="04A0" w:firstRow="1" w:lastRow="0" w:firstColumn="1" w:lastColumn="0" w:noHBand="0" w:noVBand="1"/>
      </w:tblPr>
      <w:tblGrid>
        <w:gridCol w:w="1101"/>
        <w:gridCol w:w="4819"/>
        <w:gridCol w:w="3119"/>
        <w:gridCol w:w="2693"/>
        <w:gridCol w:w="2693"/>
      </w:tblGrid>
      <w:tr w:rsidR="004C517F" w:rsidRPr="00984474" w:rsidTr="00BA1C8C">
        <w:trPr>
          <w:cantSplit/>
        </w:trPr>
        <w:tc>
          <w:tcPr>
            <w:tcW w:w="1101" w:type="dxa"/>
          </w:tcPr>
          <w:p w:rsidR="004C517F" w:rsidRPr="00984474" w:rsidRDefault="004C517F" w:rsidP="00842A91">
            <w:pPr>
              <w:rPr>
                <w:rFonts w:asciiTheme="minorHAnsi" w:hAnsiTheme="minorHAnsi" w:cs="Arial"/>
                <w:b/>
                <w:color w:val="000000" w:themeColor="text1"/>
                <w:sz w:val="16"/>
                <w:szCs w:val="16"/>
              </w:rPr>
            </w:pPr>
            <w:r w:rsidRPr="00984474">
              <w:rPr>
                <w:rFonts w:asciiTheme="minorHAnsi" w:hAnsiTheme="minorHAnsi" w:cs="Arial"/>
                <w:b/>
                <w:color w:val="000000" w:themeColor="text1"/>
                <w:sz w:val="16"/>
                <w:szCs w:val="16"/>
              </w:rPr>
              <w:t>Strategic target/ NSS outcome</w:t>
            </w:r>
          </w:p>
        </w:tc>
        <w:tc>
          <w:tcPr>
            <w:tcW w:w="4819" w:type="dxa"/>
          </w:tcPr>
          <w:p w:rsidR="004C517F" w:rsidRPr="00DE419E" w:rsidRDefault="004C517F" w:rsidP="00842A91">
            <w:pPr>
              <w:rPr>
                <w:rFonts w:asciiTheme="minorHAnsi" w:hAnsiTheme="minorHAnsi" w:cs="Arial"/>
                <w:b/>
                <w:color w:val="000000" w:themeColor="text1"/>
                <w:sz w:val="22"/>
              </w:rPr>
            </w:pPr>
            <w:r w:rsidRPr="00DE419E">
              <w:rPr>
                <w:rFonts w:asciiTheme="minorHAnsi" w:hAnsiTheme="minorHAnsi" w:cs="Arial"/>
                <w:b/>
                <w:color w:val="000000" w:themeColor="text1"/>
                <w:sz w:val="22"/>
              </w:rPr>
              <w:t>Approach</w:t>
            </w:r>
          </w:p>
        </w:tc>
        <w:tc>
          <w:tcPr>
            <w:tcW w:w="3119" w:type="dxa"/>
          </w:tcPr>
          <w:p w:rsidR="004C517F" w:rsidRPr="00DE419E" w:rsidRDefault="004C517F" w:rsidP="00842A91">
            <w:pPr>
              <w:rPr>
                <w:rFonts w:asciiTheme="minorHAnsi" w:hAnsiTheme="minorHAnsi" w:cs="Arial"/>
                <w:b/>
                <w:color w:val="000000" w:themeColor="text1"/>
                <w:sz w:val="22"/>
              </w:rPr>
            </w:pPr>
            <w:r w:rsidRPr="00DE419E">
              <w:rPr>
                <w:rFonts w:asciiTheme="minorHAnsi" w:hAnsiTheme="minorHAnsi" w:cs="Arial"/>
                <w:b/>
                <w:color w:val="000000" w:themeColor="text1"/>
                <w:sz w:val="22"/>
              </w:rPr>
              <w:t>Sub-target(s)</w:t>
            </w:r>
          </w:p>
          <w:p w:rsidR="004C517F" w:rsidRPr="00DE419E" w:rsidRDefault="004C517F" w:rsidP="00842A91">
            <w:pPr>
              <w:rPr>
                <w:rFonts w:asciiTheme="minorHAnsi" w:hAnsiTheme="minorHAnsi" w:cs="Arial"/>
                <w:b/>
                <w:i/>
                <w:color w:val="000000" w:themeColor="text1"/>
                <w:sz w:val="22"/>
              </w:rPr>
            </w:pPr>
            <w:r w:rsidRPr="00DE419E">
              <w:rPr>
                <w:rFonts w:asciiTheme="minorHAnsi" w:hAnsiTheme="minorHAnsi" w:cs="Arial"/>
                <w:b/>
                <w:i/>
                <w:color w:val="000000" w:themeColor="text1"/>
                <w:sz w:val="22"/>
              </w:rPr>
              <w:t>(if necessary)</w:t>
            </w:r>
          </w:p>
        </w:tc>
        <w:tc>
          <w:tcPr>
            <w:tcW w:w="2693" w:type="dxa"/>
          </w:tcPr>
          <w:p w:rsidR="004C517F" w:rsidRPr="00DE419E" w:rsidRDefault="004C517F" w:rsidP="00842A91">
            <w:pPr>
              <w:rPr>
                <w:rFonts w:asciiTheme="minorHAnsi" w:hAnsiTheme="minorHAnsi" w:cs="Arial"/>
                <w:b/>
                <w:color w:val="000000" w:themeColor="text1"/>
                <w:sz w:val="22"/>
              </w:rPr>
            </w:pPr>
            <w:r>
              <w:rPr>
                <w:rFonts w:asciiTheme="minorHAnsi" w:hAnsiTheme="minorHAnsi" w:cs="Arial"/>
                <w:b/>
                <w:color w:val="000000" w:themeColor="text1"/>
                <w:sz w:val="22"/>
              </w:rPr>
              <w:t>Commentary</w:t>
            </w:r>
          </w:p>
        </w:tc>
        <w:tc>
          <w:tcPr>
            <w:tcW w:w="2693" w:type="dxa"/>
          </w:tcPr>
          <w:p w:rsidR="00067D92" w:rsidRDefault="004C517F" w:rsidP="00842A91">
            <w:pPr>
              <w:rPr>
                <w:rFonts w:asciiTheme="minorHAnsi" w:hAnsiTheme="minorHAnsi" w:cs="Arial"/>
                <w:b/>
                <w:color w:val="000000" w:themeColor="text1"/>
                <w:sz w:val="22"/>
              </w:rPr>
            </w:pPr>
            <w:r w:rsidRPr="00DE419E">
              <w:rPr>
                <w:rFonts w:asciiTheme="minorHAnsi" w:hAnsiTheme="minorHAnsi" w:cs="Arial"/>
                <w:b/>
                <w:color w:val="000000" w:themeColor="text1"/>
                <w:sz w:val="22"/>
              </w:rPr>
              <w:t>Support/ resources needed</w:t>
            </w:r>
            <w:r w:rsidR="00326FAC">
              <w:rPr>
                <w:rFonts w:asciiTheme="minorHAnsi" w:hAnsiTheme="minorHAnsi" w:cs="Arial"/>
                <w:b/>
                <w:color w:val="000000" w:themeColor="text1"/>
                <w:sz w:val="22"/>
              </w:rPr>
              <w:t>*</w:t>
            </w:r>
          </w:p>
          <w:p w:rsidR="00067D92" w:rsidRPr="00067D92" w:rsidRDefault="00067D92" w:rsidP="00067D92">
            <w:pPr>
              <w:rPr>
                <w:rFonts w:asciiTheme="minorHAnsi" w:hAnsiTheme="minorHAnsi" w:cs="Arial"/>
                <w:color w:val="000000" w:themeColor="text1"/>
                <w:sz w:val="22"/>
              </w:rPr>
            </w:pPr>
          </w:p>
        </w:tc>
      </w:tr>
      <w:tr w:rsidR="00A73BE1" w:rsidRPr="000051C1" w:rsidTr="00BA1C8C">
        <w:trPr>
          <w:cantSplit/>
        </w:trPr>
        <w:tc>
          <w:tcPr>
            <w:tcW w:w="1101" w:type="dxa"/>
          </w:tcPr>
          <w:p w:rsidR="00A73BE1" w:rsidRPr="00842A91" w:rsidRDefault="00A73BE1" w:rsidP="00842A91">
            <w:pPr>
              <w:rPr>
                <w:rFonts w:ascii="Calibri" w:hAnsi="Calibri"/>
                <w:b/>
                <w:color w:val="000000" w:themeColor="text1"/>
                <w:sz w:val="22"/>
              </w:rPr>
            </w:pPr>
            <w:r w:rsidRPr="00842A91">
              <w:rPr>
                <w:rFonts w:ascii="Calibri" w:hAnsi="Calibri"/>
                <w:b/>
                <w:color w:val="000000" w:themeColor="text1"/>
                <w:sz w:val="22"/>
              </w:rPr>
              <w:t>LTA Strategy  1</w:t>
            </w:r>
            <w:r w:rsidRPr="00842A91">
              <w:rPr>
                <w:rFonts w:ascii="Calibri" w:hAnsi="Calibri"/>
                <w:color w:val="000000" w:themeColor="text1"/>
                <w:sz w:val="22"/>
              </w:rPr>
              <w:t>-</w:t>
            </w:r>
            <w:r w:rsidRPr="00842A91">
              <w:rPr>
                <w:rFonts w:ascii="Calibri" w:hAnsi="Calibri"/>
                <w:b/>
                <w:color w:val="000000" w:themeColor="text1"/>
                <w:sz w:val="22"/>
              </w:rPr>
              <w:t xml:space="preserve">3 </w:t>
            </w:r>
          </w:p>
        </w:tc>
        <w:tc>
          <w:tcPr>
            <w:tcW w:w="4819" w:type="dxa"/>
          </w:tcPr>
          <w:p w:rsidR="00A73BE1" w:rsidRPr="004E7B03" w:rsidRDefault="00A73BE1" w:rsidP="00842A91">
            <w:pPr>
              <w:spacing w:after="120"/>
              <w:ind w:left="-42"/>
              <w:rPr>
                <w:rFonts w:asciiTheme="minorHAnsi" w:hAnsiTheme="minorHAnsi"/>
                <w:color w:val="000000" w:themeColor="text1"/>
                <w:sz w:val="22"/>
              </w:rPr>
            </w:pPr>
            <w:r w:rsidRPr="004E7B03">
              <w:rPr>
                <w:rFonts w:asciiTheme="minorHAnsi" w:hAnsiTheme="minorHAnsi"/>
                <w:color w:val="000000" w:themeColor="text1"/>
                <w:sz w:val="22"/>
              </w:rPr>
              <w:t>Many staff are unable to attend staff development sessi</w:t>
            </w:r>
            <w:r>
              <w:rPr>
                <w:rFonts w:asciiTheme="minorHAnsi" w:hAnsiTheme="minorHAnsi"/>
                <w:color w:val="000000" w:themeColor="text1"/>
                <w:sz w:val="22"/>
              </w:rPr>
              <w:t>ons but have an interest in LTA:</w:t>
            </w:r>
          </w:p>
          <w:p w:rsidR="00A73BE1" w:rsidRDefault="00A73BE1" w:rsidP="00F55EDE">
            <w:pPr>
              <w:pStyle w:val="ListParagraph"/>
              <w:numPr>
                <w:ilvl w:val="0"/>
                <w:numId w:val="21"/>
              </w:numPr>
              <w:spacing w:after="120"/>
              <w:ind w:left="318"/>
              <w:rPr>
                <w:rFonts w:asciiTheme="minorHAnsi" w:hAnsiTheme="minorHAnsi"/>
                <w:color w:val="000000" w:themeColor="text1"/>
                <w:sz w:val="22"/>
              </w:rPr>
            </w:pPr>
            <w:r>
              <w:rPr>
                <w:rFonts w:asciiTheme="minorHAnsi" w:hAnsiTheme="minorHAnsi"/>
                <w:color w:val="000000" w:themeColor="text1"/>
                <w:sz w:val="22"/>
              </w:rPr>
              <w:t>Offer a second annual Faculty Learning,</w:t>
            </w:r>
            <w:r>
              <w:rPr>
                <w:rFonts w:asciiTheme="minorHAnsi" w:hAnsiTheme="minorHAnsi"/>
                <w:b/>
                <w:color w:val="000000" w:themeColor="text1"/>
                <w:sz w:val="22"/>
              </w:rPr>
              <w:t xml:space="preserve"> Teaching </w:t>
            </w:r>
            <w:r>
              <w:rPr>
                <w:rFonts w:asciiTheme="minorHAnsi" w:hAnsiTheme="minorHAnsi"/>
                <w:color w:val="000000" w:themeColor="text1"/>
                <w:sz w:val="22"/>
              </w:rPr>
              <w:t>and Assessment development day on a well-publicised date outside of Teaching Weeks.</w:t>
            </w:r>
          </w:p>
          <w:p w:rsidR="00A73BE1" w:rsidRPr="004C517F" w:rsidRDefault="00A73BE1" w:rsidP="004C517F">
            <w:pPr>
              <w:pStyle w:val="ListParagraph"/>
              <w:numPr>
                <w:ilvl w:val="0"/>
                <w:numId w:val="21"/>
              </w:numPr>
              <w:spacing w:after="120"/>
              <w:ind w:left="318"/>
              <w:rPr>
                <w:rFonts w:asciiTheme="minorHAnsi" w:hAnsiTheme="minorHAnsi"/>
                <w:color w:val="000000" w:themeColor="text1"/>
                <w:sz w:val="22"/>
              </w:rPr>
            </w:pPr>
            <w:r>
              <w:rPr>
                <w:rFonts w:asciiTheme="minorHAnsi" w:hAnsiTheme="minorHAnsi"/>
                <w:color w:val="000000" w:themeColor="text1"/>
                <w:sz w:val="22"/>
              </w:rPr>
              <w:t xml:space="preserve">Continue LTA update emails and archive on LTA website: </w:t>
            </w:r>
            <w:hyperlink r:id="rId15" w:history="1">
              <w:r w:rsidRPr="004C517F">
                <w:rPr>
                  <w:rStyle w:val="Hyperlink"/>
                  <w:rFonts w:asciiTheme="minorHAnsi" w:hAnsiTheme="minorHAnsi"/>
                  <w:sz w:val="22"/>
                </w:rPr>
                <w:t>Here</w:t>
              </w:r>
            </w:hyperlink>
          </w:p>
        </w:tc>
        <w:tc>
          <w:tcPr>
            <w:tcW w:w="3119" w:type="dxa"/>
          </w:tcPr>
          <w:p w:rsidR="00A73BE1" w:rsidRPr="0034061B" w:rsidRDefault="00A73BE1" w:rsidP="00CA2392">
            <w:pPr>
              <w:pStyle w:val="ListParagraph"/>
              <w:numPr>
                <w:ilvl w:val="0"/>
                <w:numId w:val="21"/>
              </w:numPr>
              <w:ind w:left="317"/>
              <w:rPr>
                <w:rFonts w:ascii="Calibri" w:hAnsi="Calibri"/>
                <w:b/>
                <w:color w:val="000000" w:themeColor="text1"/>
                <w:sz w:val="22"/>
              </w:rPr>
            </w:pPr>
            <w:r>
              <w:rPr>
                <w:rFonts w:ascii="Calibri" w:hAnsi="Calibri" w:cs="Arial"/>
                <w:bCs/>
                <w:color w:val="000000" w:themeColor="text1"/>
                <w:sz w:val="22"/>
              </w:rPr>
              <w:t>% Satisfaction with event to exceed 85% (78% last year)</w:t>
            </w:r>
          </w:p>
          <w:p w:rsidR="00A73BE1" w:rsidRPr="00A364DC" w:rsidRDefault="00A73BE1" w:rsidP="00A364DC">
            <w:pPr>
              <w:pStyle w:val="ListParagraph"/>
              <w:numPr>
                <w:ilvl w:val="0"/>
                <w:numId w:val="21"/>
              </w:numPr>
              <w:ind w:left="317"/>
              <w:rPr>
                <w:rFonts w:ascii="Calibri" w:hAnsi="Calibri" w:cs="Arial"/>
                <w:bCs/>
                <w:color w:val="000000" w:themeColor="text1"/>
                <w:sz w:val="22"/>
              </w:rPr>
            </w:pPr>
            <w:r w:rsidRPr="00A364DC">
              <w:rPr>
                <w:rFonts w:ascii="Calibri" w:hAnsi="Calibri" w:cs="Arial"/>
                <w:bCs/>
                <w:color w:val="000000" w:themeColor="text1"/>
                <w:sz w:val="22"/>
              </w:rPr>
              <w:t>Number of attendees to increase (27 last year)</w:t>
            </w:r>
          </w:p>
          <w:p w:rsidR="00A73BE1" w:rsidRPr="00CA2392" w:rsidRDefault="00A73BE1" w:rsidP="00CA2392">
            <w:pPr>
              <w:pStyle w:val="ListParagraph"/>
              <w:numPr>
                <w:ilvl w:val="0"/>
                <w:numId w:val="21"/>
              </w:numPr>
              <w:ind w:left="317"/>
              <w:rPr>
                <w:rFonts w:ascii="Calibri" w:hAnsi="Calibri" w:cs="Arial"/>
                <w:bCs/>
                <w:sz w:val="22"/>
              </w:rPr>
            </w:pPr>
            <w:r w:rsidRPr="00CA2392">
              <w:rPr>
                <w:rFonts w:ascii="Calibri" w:hAnsi="Calibri" w:cs="Arial"/>
                <w:bCs/>
                <w:sz w:val="22"/>
              </w:rPr>
              <w:t>Reports of good practice in:</w:t>
            </w:r>
          </w:p>
          <w:p w:rsidR="00A73BE1" w:rsidRPr="00CA2392" w:rsidRDefault="00A73BE1" w:rsidP="00CA2392">
            <w:pPr>
              <w:ind w:left="317"/>
              <w:rPr>
                <w:rFonts w:ascii="Calibri" w:hAnsi="Calibri"/>
                <w:b/>
                <w:color w:val="000000" w:themeColor="text1"/>
                <w:sz w:val="22"/>
              </w:rPr>
            </w:pPr>
            <w:r w:rsidRPr="00CA2392">
              <w:rPr>
                <w:rFonts w:ascii="Calibri" w:hAnsi="Calibri" w:cs="Arial"/>
                <w:bCs/>
                <w:sz w:val="22"/>
              </w:rPr>
              <w:t>External Examiners’ reports, Professional, Statutory and Regulatory and Bodies reports, AMRs</w:t>
            </w:r>
            <w:r w:rsidRPr="00CA2392">
              <w:rPr>
                <w:rFonts w:ascii="Calibri" w:hAnsi="Calibri" w:cs="Arial"/>
                <w:bCs/>
                <w:color w:val="000000" w:themeColor="text1"/>
                <w:sz w:val="22"/>
              </w:rPr>
              <w:t xml:space="preserve"> </w:t>
            </w:r>
          </w:p>
        </w:tc>
        <w:tc>
          <w:tcPr>
            <w:tcW w:w="2693" w:type="dxa"/>
          </w:tcPr>
          <w:p w:rsidR="00A73BE1" w:rsidRPr="000A4119" w:rsidRDefault="00A73BE1" w:rsidP="00842A91">
            <w:pPr>
              <w:ind w:left="34"/>
              <w:rPr>
                <w:rFonts w:ascii="Calibri" w:hAnsi="Calibri"/>
                <w:color w:val="000000" w:themeColor="text1"/>
                <w:sz w:val="22"/>
              </w:rPr>
            </w:pPr>
            <w:r>
              <w:rPr>
                <w:rFonts w:ascii="Calibri" w:hAnsi="Calibri"/>
                <w:color w:val="000000" w:themeColor="text1"/>
                <w:sz w:val="22"/>
              </w:rPr>
              <w:t>Led by Associate Dean (Education) during 2015/16.  Approval for LTA development day in January to be sought from FEC due to validation activity this year.</w:t>
            </w:r>
          </w:p>
        </w:tc>
        <w:tc>
          <w:tcPr>
            <w:tcW w:w="2693" w:type="dxa"/>
          </w:tcPr>
          <w:p w:rsidR="00A73BE1" w:rsidRDefault="00A73BE1" w:rsidP="006A1346">
            <w:pPr>
              <w:pStyle w:val="ListParagraph"/>
              <w:numPr>
                <w:ilvl w:val="0"/>
                <w:numId w:val="29"/>
              </w:numPr>
              <w:rPr>
                <w:rFonts w:ascii="Calibri" w:hAnsi="Calibri"/>
                <w:color w:val="000000" w:themeColor="text1"/>
                <w:sz w:val="22"/>
              </w:rPr>
            </w:pPr>
            <w:r>
              <w:rPr>
                <w:rFonts w:ascii="Calibri" w:hAnsi="Calibri"/>
                <w:color w:val="000000" w:themeColor="text1"/>
                <w:sz w:val="22"/>
              </w:rPr>
              <w:t>£</w:t>
            </w:r>
            <w:r w:rsidRPr="006A1346">
              <w:rPr>
                <w:rFonts w:ascii="Calibri" w:hAnsi="Calibri"/>
                <w:color w:val="000000" w:themeColor="text1"/>
                <w:sz w:val="22"/>
              </w:rPr>
              <w:t xml:space="preserve">370 </w:t>
            </w:r>
            <w:r>
              <w:rPr>
                <w:rFonts w:ascii="Calibri" w:hAnsi="Calibri"/>
                <w:color w:val="000000" w:themeColor="text1"/>
                <w:sz w:val="22"/>
              </w:rPr>
              <w:t>F</w:t>
            </w:r>
            <w:r w:rsidRPr="00F55EDE">
              <w:rPr>
                <w:rFonts w:ascii="Calibri" w:hAnsi="Calibri"/>
                <w:color w:val="000000" w:themeColor="text1"/>
                <w:sz w:val="22"/>
              </w:rPr>
              <w:t>unding for LTA development day catering</w:t>
            </w:r>
            <w:r>
              <w:rPr>
                <w:rFonts w:ascii="Calibri" w:hAnsi="Calibri"/>
                <w:color w:val="000000" w:themeColor="text1"/>
                <w:sz w:val="22"/>
              </w:rPr>
              <w:t xml:space="preserve"> from FAC.</w:t>
            </w:r>
          </w:p>
          <w:p w:rsidR="00A73BE1" w:rsidRPr="00F55EDE" w:rsidRDefault="00A73BE1" w:rsidP="004C517F">
            <w:pPr>
              <w:pStyle w:val="ListParagraph"/>
              <w:numPr>
                <w:ilvl w:val="0"/>
                <w:numId w:val="29"/>
              </w:numPr>
              <w:rPr>
                <w:rFonts w:ascii="Calibri" w:hAnsi="Calibri"/>
                <w:color w:val="000000" w:themeColor="text1"/>
                <w:sz w:val="22"/>
              </w:rPr>
            </w:pPr>
            <w:r>
              <w:rPr>
                <w:rFonts w:ascii="Calibri" w:hAnsi="Calibri"/>
                <w:color w:val="000000" w:themeColor="text1"/>
                <w:sz w:val="22"/>
              </w:rPr>
              <w:t>IT Services to maintain web-accessible drive for LTA website.</w:t>
            </w:r>
          </w:p>
        </w:tc>
      </w:tr>
      <w:tr w:rsidR="00A73BE1" w:rsidRPr="000051C1" w:rsidTr="00BA1C8C">
        <w:tblPrEx>
          <w:tblCellMar>
            <w:top w:w="113" w:type="dxa"/>
            <w:bottom w:w="113" w:type="dxa"/>
          </w:tblCellMar>
        </w:tblPrEx>
        <w:trPr>
          <w:cantSplit/>
        </w:trPr>
        <w:tc>
          <w:tcPr>
            <w:tcW w:w="1101" w:type="dxa"/>
          </w:tcPr>
          <w:p w:rsidR="00A73BE1" w:rsidRPr="00842A91" w:rsidRDefault="00A73BE1" w:rsidP="00FD3D64">
            <w:pPr>
              <w:rPr>
                <w:rFonts w:ascii="Calibri" w:hAnsi="Calibri"/>
                <w:color w:val="000000" w:themeColor="text1"/>
                <w:sz w:val="22"/>
              </w:rPr>
            </w:pPr>
            <w:r w:rsidRPr="00842A91">
              <w:rPr>
                <w:rFonts w:ascii="Calibri" w:hAnsi="Calibri"/>
                <w:b/>
                <w:color w:val="000000" w:themeColor="text1"/>
                <w:sz w:val="22"/>
              </w:rPr>
              <w:t>LTA Strategy 1</w:t>
            </w:r>
            <w:r w:rsidRPr="00842A91">
              <w:rPr>
                <w:rFonts w:ascii="Calibri" w:hAnsi="Calibri"/>
                <w:color w:val="000000" w:themeColor="text1"/>
                <w:sz w:val="22"/>
              </w:rPr>
              <w:t xml:space="preserve">  </w:t>
            </w:r>
            <w:r w:rsidRPr="00F10E75">
              <w:rPr>
                <w:rFonts w:ascii="Calibri" w:hAnsi="Calibri"/>
                <w:color w:val="000000" w:themeColor="text1"/>
                <w:sz w:val="16"/>
                <w:szCs w:val="16"/>
              </w:rPr>
              <w:t>Excellence in learning, teaching and assessment</w:t>
            </w:r>
          </w:p>
        </w:tc>
        <w:tc>
          <w:tcPr>
            <w:tcW w:w="4819" w:type="dxa"/>
          </w:tcPr>
          <w:p w:rsidR="00A73BE1" w:rsidRDefault="00A73BE1" w:rsidP="00FD3D64">
            <w:pPr>
              <w:rPr>
                <w:rFonts w:ascii="Calibri" w:hAnsi="Calibri"/>
                <w:color w:val="000000" w:themeColor="text1"/>
                <w:sz w:val="22"/>
              </w:rPr>
            </w:pPr>
            <w:r>
              <w:rPr>
                <w:rFonts w:ascii="Calibri" w:hAnsi="Calibri"/>
                <w:color w:val="000000" w:themeColor="text1"/>
                <w:sz w:val="22"/>
              </w:rPr>
              <w:t xml:space="preserve">Adopt revised LJMU </w:t>
            </w:r>
            <w:r w:rsidRPr="00AF291A">
              <w:rPr>
                <w:rFonts w:ascii="Calibri" w:hAnsi="Calibri"/>
                <w:b/>
                <w:color w:val="000000" w:themeColor="text1"/>
                <w:sz w:val="22"/>
              </w:rPr>
              <w:t>Teaching</w:t>
            </w:r>
            <w:r>
              <w:rPr>
                <w:rFonts w:ascii="Calibri" w:hAnsi="Calibri"/>
                <w:color w:val="000000" w:themeColor="text1"/>
                <w:sz w:val="22"/>
              </w:rPr>
              <w:t xml:space="preserve"> Observation Scheme within Faculty in 2015/16.</w:t>
            </w:r>
          </w:p>
          <w:p w:rsidR="00A73BE1" w:rsidRDefault="00A73BE1" w:rsidP="00FD3D64">
            <w:pPr>
              <w:pStyle w:val="ListParagraph"/>
              <w:numPr>
                <w:ilvl w:val="0"/>
                <w:numId w:val="19"/>
              </w:numPr>
              <w:rPr>
                <w:rFonts w:ascii="Calibri" w:hAnsi="Calibri"/>
                <w:color w:val="000000" w:themeColor="text1"/>
                <w:sz w:val="22"/>
              </w:rPr>
            </w:pPr>
            <w:r>
              <w:rPr>
                <w:rFonts w:ascii="Calibri" w:hAnsi="Calibri"/>
                <w:color w:val="000000" w:themeColor="text1"/>
                <w:sz w:val="22"/>
              </w:rPr>
              <w:t>Develop Faculty-orientated training resources for new observers and share with existing observers.</w:t>
            </w:r>
          </w:p>
          <w:p w:rsidR="00A73BE1" w:rsidRDefault="00A73BE1" w:rsidP="00FD3D64">
            <w:pPr>
              <w:pStyle w:val="ListParagraph"/>
              <w:numPr>
                <w:ilvl w:val="0"/>
                <w:numId w:val="19"/>
              </w:numPr>
              <w:rPr>
                <w:rFonts w:ascii="Calibri" w:hAnsi="Calibri"/>
                <w:color w:val="000000" w:themeColor="text1"/>
                <w:sz w:val="22"/>
              </w:rPr>
            </w:pPr>
            <w:r>
              <w:rPr>
                <w:rFonts w:ascii="Calibri" w:hAnsi="Calibri"/>
                <w:color w:val="000000" w:themeColor="text1"/>
                <w:sz w:val="22"/>
              </w:rPr>
              <w:t>Offer training sessions to all staff in Sept 2015 and Jan 2016.</w:t>
            </w:r>
          </w:p>
          <w:p w:rsidR="00A73BE1" w:rsidRPr="0069037F" w:rsidRDefault="00A73BE1" w:rsidP="00FD3D64">
            <w:pPr>
              <w:pStyle w:val="ListParagraph"/>
              <w:numPr>
                <w:ilvl w:val="0"/>
                <w:numId w:val="19"/>
              </w:numPr>
              <w:rPr>
                <w:rFonts w:ascii="Calibri" w:hAnsi="Calibri"/>
                <w:color w:val="000000" w:themeColor="text1"/>
                <w:sz w:val="22"/>
              </w:rPr>
            </w:pPr>
            <w:r>
              <w:rPr>
                <w:rFonts w:ascii="Calibri" w:hAnsi="Calibri"/>
                <w:color w:val="000000" w:themeColor="text1"/>
                <w:sz w:val="22"/>
              </w:rPr>
              <w:t>Maintain a Faculty list of trained staff and provide this information to Directors to inform observation pair selection at start of each semester.</w:t>
            </w:r>
          </w:p>
        </w:tc>
        <w:tc>
          <w:tcPr>
            <w:tcW w:w="3119" w:type="dxa"/>
          </w:tcPr>
          <w:p w:rsidR="00A73BE1" w:rsidRDefault="00A73BE1" w:rsidP="00FD3D64">
            <w:pPr>
              <w:pStyle w:val="ListParagraph"/>
              <w:numPr>
                <w:ilvl w:val="0"/>
                <w:numId w:val="20"/>
              </w:numPr>
              <w:ind w:left="317" w:hanging="284"/>
              <w:rPr>
                <w:rFonts w:ascii="Calibri" w:hAnsi="Calibri"/>
                <w:color w:val="000000" w:themeColor="text1"/>
                <w:sz w:val="22"/>
              </w:rPr>
            </w:pPr>
            <w:r>
              <w:rPr>
                <w:rFonts w:ascii="Calibri" w:hAnsi="Calibri"/>
                <w:color w:val="000000" w:themeColor="text1"/>
                <w:sz w:val="22"/>
              </w:rPr>
              <w:t>% observations in-year to be 75% of expectation (lower target to reflect new scheme). Target to be 95% in 2016/17.</w:t>
            </w:r>
          </w:p>
          <w:p w:rsidR="00A73BE1" w:rsidRDefault="00A73BE1" w:rsidP="00FD3D64">
            <w:pPr>
              <w:pStyle w:val="ListParagraph"/>
              <w:numPr>
                <w:ilvl w:val="0"/>
                <w:numId w:val="20"/>
              </w:numPr>
              <w:ind w:left="317" w:hanging="284"/>
              <w:rPr>
                <w:rFonts w:ascii="Calibri" w:hAnsi="Calibri"/>
                <w:color w:val="000000" w:themeColor="text1"/>
                <w:sz w:val="22"/>
              </w:rPr>
            </w:pPr>
            <w:r>
              <w:rPr>
                <w:rFonts w:ascii="Calibri" w:hAnsi="Calibri"/>
                <w:color w:val="000000" w:themeColor="text1"/>
                <w:sz w:val="22"/>
              </w:rPr>
              <w:t>Good practice identified through observation to be considered at FEC May 2016.</w:t>
            </w:r>
          </w:p>
          <w:p w:rsidR="00A73BE1" w:rsidRPr="000051C1" w:rsidRDefault="00A73BE1" w:rsidP="00FD3D64">
            <w:pPr>
              <w:pStyle w:val="ListParagraph"/>
              <w:ind w:left="360"/>
              <w:rPr>
                <w:rFonts w:ascii="Calibri" w:hAnsi="Calibri"/>
                <w:color w:val="000000" w:themeColor="text1"/>
                <w:sz w:val="22"/>
              </w:rPr>
            </w:pPr>
          </w:p>
        </w:tc>
        <w:tc>
          <w:tcPr>
            <w:tcW w:w="2693" w:type="dxa"/>
          </w:tcPr>
          <w:p w:rsidR="00A73BE1" w:rsidRPr="000A4119" w:rsidRDefault="00A73BE1" w:rsidP="00FD3D64">
            <w:pPr>
              <w:ind w:left="34"/>
              <w:rPr>
                <w:rFonts w:ascii="Calibri" w:hAnsi="Calibri"/>
                <w:color w:val="000000" w:themeColor="text1"/>
                <w:sz w:val="22"/>
              </w:rPr>
            </w:pPr>
            <w:r>
              <w:rPr>
                <w:rFonts w:ascii="Calibri" w:hAnsi="Calibri"/>
                <w:color w:val="000000" w:themeColor="text1"/>
                <w:sz w:val="22"/>
              </w:rPr>
              <w:t xml:space="preserve">Led by Associate Dean (Education) during 2015/16.  </w:t>
            </w:r>
          </w:p>
        </w:tc>
        <w:tc>
          <w:tcPr>
            <w:tcW w:w="2693" w:type="dxa"/>
          </w:tcPr>
          <w:p w:rsidR="00A73BE1" w:rsidRPr="00F55EDE" w:rsidRDefault="00A73BE1" w:rsidP="00FD3D64">
            <w:pPr>
              <w:pStyle w:val="ListParagraph"/>
              <w:numPr>
                <w:ilvl w:val="0"/>
                <w:numId w:val="20"/>
              </w:numPr>
              <w:rPr>
                <w:rFonts w:ascii="Calibri" w:hAnsi="Calibri"/>
                <w:color w:val="000000" w:themeColor="text1"/>
                <w:sz w:val="22"/>
              </w:rPr>
            </w:pPr>
            <w:r w:rsidRPr="00F55EDE">
              <w:rPr>
                <w:rFonts w:ascii="Calibri" w:hAnsi="Calibri"/>
                <w:color w:val="000000" w:themeColor="text1"/>
                <w:sz w:val="22"/>
              </w:rPr>
              <w:t>Teaching and Learning Academy (</w:t>
            </w:r>
            <w:r>
              <w:rPr>
                <w:rFonts w:ascii="Calibri" w:hAnsi="Calibri"/>
                <w:color w:val="000000" w:themeColor="text1"/>
                <w:sz w:val="22"/>
              </w:rPr>
              <w:t>e-Portfolio assistance, observer training resources for adaptation</w:t>
            </w:r>
            <w:r w:rsidRPr="00F55EDE">
              <w:rPr>
                <w:rFonts w:ascii="Calibri" w:hAnsi="Calibri"/>
                <w:color w:val="000000" w:themeColor="text1"/>
                <w:sz w:val="22"/>
              </w:rPr>
              <w:t>)</w:t>
            </w:r>
          </w:p>
          <w:p w:rsidR="00A73BE1" w:rsidRPr="00F55EDE" w:rsidRDefault="00A73BE1" w:rsidP="00FD3D64">
            <w:pPr>
              <w:pStyle w:val="ListParagraph"/>
              <w:ind w:left="360"/>
              <w:rPr>
                <w:rFonts w:ascii="Calibri" w:hAnsi="Calibri"/>
                <w:color w:val="000000" w:themeColor="text1"/>
                <w:sz w:val="22"/>
              </w:rPr>
            </w:pPr>
          </w:p>
        </w:tc>
      </w:tr>
      <w:tr w:rsidR="00A73BE1" w:rsidRPr="000051C1" w:rsidTr="00BA1C8C">
        <w:tblPrEx>
          <w:tblCellMar>
            <w:top w:w="113" w:type="dxa"/>
            <w:bottom w:w="113" w:type="dxa"/>
          </w:tblCellMar>
        </w:tblPrEx>
        <w:trPr>
          <w:cantSplit/>
        </w:trPr>
        <w:tc>
          <w:tcPr>
            <w:tcW w:w="1101" w:type="dxa"/>
          </w:tcPr>
          <w:p w:rsidR="00A73BE1" w:rsidRPr="00842A91" w:rsidRDefault="00A73BE1" w:rsidP="00BA49DF">
            <w:pPr>
              <w:rPr>
                <w:rFonts w:ascii="Calibri" w:hAnsi="Calibri"/>
                <w:color w:val="000000" w:themeColor="text1"/>
                <w:sz w:val="22"/>
              </w:rPr>
            </w:pPr>
            <w:r w:rsidRPr="00842A91">
              <w:rPr>
                <w:rFonts w:ascii="Calibri" w:hAnsi="Calibri"/>
                <w:b/>
                <w:color w:val="000000" w:themeColor="text1"/>
                <w:sz w:val="22"/>
              </w:rPr>
              <w:t>LTA Strategy 1</w:t>
            </w:r>
            <w:r w:rsidRPr="00842A91">
              <w:rPr>
                <w:rFonts w:ascii="Calibri" w:hAnsi="Calibri"/>
                <w:color w:val="000000" w:themeColor="text1"/>
                <w:sz w:val="22"/>
              </w:rPr>
              <w:t xml:space="preserve">  </w:t>
            </w:r>
          </w:p>
        </w:tc>
        <w:tc>
          <w:tcPr>
            <w:tcW w:w="4819" w:type="dxa"/>
          </w:tcPr>
          <w:p w:rsidR="00A73BE1" w:rsidRPr="00BA49DF" w:rsidRDefault="00A73BE1" w:rsidP="00AF291A">
            <w:pPr>
              <w:rPr>
                <w:rFonts w:ascii="Calibri" w:hAnsi="Calibri"/>
                <w:color w:val="000000" w:themeColor="text1"/>
                <w:sz w:val="22"/>
              </w:rPr>
            </w:pPr>
            <w:r w:rsidRPr="00BA49DF">
              <w:rPr>
                <w:rFonts w:ascii="Calibri" w:hAnsi="Calibri"/>
                <w:color w:val="000000" w:themeColor="text1"/>
                <w:sz w:val="22"/>
              </w:rPr>
              <w:t>Investiga</w:t>
            </w:r>
            <w:r>
              <w:rPr>
                <w:rFonts w:ascii="Calibri" w:hAnsi="Calibri"/>
                <w:color w:val="000000" w:themeColor="text1"/>
                <w:sz w:val="22"/>
              </w:rPr>
              <w:t xml:space="preserve">te virtual laboratories provided by LABSTER and assess potential for use across the Faculty for online </w:t>
            </w:r>
            <w:r>
              <w:rPr>
                <w:rFonts w:ascii="Calibri" w:hAnsi="Calibri"/>
                <w:b/>
                <w:color w:val="000000" w:themeColor="text1"/>
                <w:sz w:val="22"/>
              </w:rPr>
              <w:t>te</w:t>
            </w:r>
            <w:r w:rsidRPr="00AF291A">
              <w:rPr>
                <w:rFonts w:ascii="Calibri" w:hAnsi="Calibri"/>
                <w:b/>
                <w:color w:val="000000" w:themeColor="text1"/>
                <w:sz w:val="22"/>
              </w:rPr>
              <w:t>aching</w:t>
            </w:r>
            <w:r>
              <w:rPr>
                <w:rFonts w:ascii="Calibri" w:hAnsi="Calibri"/>
                <w:color w:val="000000" w:themeColor="text1"/>
                <w:sz w:val="22"/>
              </w:rPr>
              <w:t>.</w:t>
            </w:r>
          </w:p>
        </w:tc>
        <w:tc>
          <w:tcPr>
            <w:tcW w:w="3119" w:type="dxa"/>
          </w:tcPr>
          <w:p w:rsidR="00A73BE1" w:rsidRPr="00BA49DF" w:rsidRDefault="00A73BE1" w:rsidP="00BF5595">
            <w:pPr>
              <w:pStyle w:val="ListParagraph"/>
              <w:numPr>
                <w:ilvl w:val="0"/>
                <w:numId w:val="20"/>
              </w:numPr>
              <w:ind w:left="317" w:hanging="284"/>
              <w:rPr>
                <w:rFonts w:ascii="Calibri" w:hAnsi="Calibri"/>
                <w:color w:val="000000" w:themeColor="text1"/>
                <w:sz w:val="22"/>
              </w:rPr>
            </w:pPr>
            <w:r>
              <w:rPr>
                <w:rFonts w:ascii="Calibri" w:hAnsi="Calibri"/>
                <w:color w:val="000000" w:themeColor="text1"/>
                <w:sz w:val="22"/>
              </w:rPr>
              <w:t xml:space="preserve">Practical content (inc simulations) on BSc courses to be 50%. </w:t>
            </w:r>
          </w:p>
        </w:tc>
        <w:tc>
          <w:tcPr>
            <w:tcW w:w="2693" w:type="dxa"/>
          </w:tcPr>
          <w:p w:rsidR="00A73BE1" w:rsidRPr="000A4119" w:rsidRDefault="00A73BE1" w:rsidP="00BA49DF">
            <w:pPr>
              <w:ind w:left="34"/>
              <w:rPr>
                <w:rFonts w:ascii="Calibri" w:hAnsi="Calibri"/>
                <w:color w:val="000000" w:themeColor="text1"/>
                <w:sz w:val="22"/>
              </w:rPr>
            </w:pPr>
            <w:r>
              <w:rPr>
                <w:rFonts w:ascii="Calibri" w:hAnsi="Calibri"/>
                <w:color w:val="000000" w:themeColor="text1"/>
                <w:sz w:val="22"/>
              </w:rPr>
              <w:t xml:space="preserve">Led by Programme Leader (Biomedical Sciences) during 2015/16.  </w:t>
            </w:r>
          </w:p>
        </w:tc>
        <w:tc>
          <w:tcPr>
            <w:tcW w:w="2693" w:type="dxa"/>
          </w:tcPr>
          <w:p w:rsidR="00A73BE1" w:rsidRPr="00895F48" w:rsidRDefault="00A73BE1" w:rsidP="00BA49DF">
            <w:pPr>
              <w:pStyle w:val="ListParagraph"/>
              <w:numPr>
                <w:ilvl w:val="0"/>
                <w:numId w:val="20"/>
              </w:numPr>
              <w:rPr>
                <w:rFonts w:ascii="Calibri" w:hAnsi="Calibri"/>
                <w:color w:val="000000" w:themeColor="text1"/>
                <w:sz w:val="22"/>
              </w:rPr>
            </w:pPr>
            <w:r w:rsidRPr="00895F48">
              <w:rPr>
                <w:rFonts w:ascii="Calibri" w:hAnsi="Calibri"/>
                <w:color w:val="000000" w:themeColor="text1"/>
                <w:sz w:val="22"/>
              </w:rPr>
              <w:t>£</w:t>
            </w:r>
            <w:r>
              <w:rPr>
                <w:rFonts w:ascii="Calibri" w:hAnsi="Calibri"/>
                <w:color w:val="000000" w:themeColor="text1"/>
                <w:sz w:val="22"/>
              </w:rPr>
              <w:t>TBC, through application to UCEPI.</w:t>
            </w:r>
          </w:p>
          <w:p w:rsidR="00A73BE1" w:rsidRPr="00F55EDE" w:rsidRDefault="00A73BE1" w:rsidP="00BA49DF">
            <w:pPr>
              <w:pStyle w:val="ListParagraph"/>
              <w:ind w:left="360"/>
              <w:rPr>
                <w:rFonts w:ascii="Calibri" w:hAnsi="Calibri"/>
                <w:color w:val="000000" w:themeColor="text1"/>
                <w:sz w:val="22"/>
              </w:rPr>
            </w:pPr>
          </w:p>
        </w:tc>
      </w:tr>
      <w:tr w:rsidR="00A73BE1" w:rsidRPr="000051C1" w:rsidTr="00BA1C8C">
        <w:tblPrEx>
          <w:tblCellMar>
            <w:top w:w="113" w:type="dxa"/>
            <w:bottom w:w="113" w:type="dxa"/>
          </w:tblCellMar>
        </w:tblPrEx>
        <w:trPr>
          <w:cantSplit/>
        </w:trPr>
        <w:tc>
          <w:tcPr>
            <w:tcW w:w="1101" w:type="dxa"/>
          </w:tcPr>
          <w:p w:rsidR="00A73BE1" w:rsidRPr="00842A91" w:rsidRDefault="00A73BE1" w:rsidP="009B1159">
            <w:pPr>
              <w:rPr>
                <w:rFonts w:ascii="Calibri" w:hAnsi="Calibri"/>
                <w:color w:val="000000" w:themeColor="text1"/>
                <w:sz w:val="22"/>
              </w:rPr>
            </w:pPr>
            <w:r w:rsidRPr="00842A91">
              <w:rPr>
                <w:rFonts w:ascii="Calibri" w:hAnsi="Calibri"/>
                <w:b/>
                <w:color w:val="000000" w:themeColor="text1"/>
                <w:sz w:val="22"/>
              </w:rPr>
              <w:lastRenderedPageBreak/>
              <w:t>LTA Strategy 1</w:t>
            </w:r>
            <w:r w:rsidRPr="00842A91">
              <w:rPr>
                <w:rFonts w:ascii="Calibri" w:hAnsi="Calibri"/>
                <w:color w:val="000000" w:themeColor="text1"/>
                <w:sz w:val="22"/>
              </w:rPr>
              <w:t xml:space="preserve">  </w:t>
            </w:r>
            <w:r w:rsidRPr="00F10E75">
              <w:rPr>
                <w:rFonts w:ascii="Calibri" w:hAnsi="Calibri"/>
                <w:color w:val="000000" w:themeColor="text1"/>
                <w:sz w:val="16"/>
                <w:szCs w:val="16"/>
              </w:rPr>
              <w:t>Excellence in learning, teaching and assessment</w:t>
            </w:r>
          </w:p>
        </w:tc>
        <w:tc>
          <w:tcPr>
            <w:tcW w:w="4819" w:type="dxa"/>
          </w:tcPr>
          <w:p w:rsidR="00A73BE1" w:rsidRDefault="00A73BE1" w:rsidP="009B1159">
            <w:pPr>
              <w:rPr>
                <w:rFonts w:ascii="Calibri" w:hAnsi="Calibri"/>
                <w:color w:val="000000" w:themeColor="text1"/>
                <w:sz w:val="22"/>
              </w:rPr>
            </w:pPr>
            <w:r>
              <w:rPr>
                <w:rFonts w:ascii="Calibri" w:hAnsi="Calibri"/>
                <w:color w:val="000000" w:themeColor="text1"/>
                <w:sz w:val="22"/>
              </w:rPr>
              <w:t>Develop Faculty protocols around Directed Study Weeks (DSW).</w:t>
            </w:r>
          </w:p>
          <w:p w:rsidR="00A73BE1" w:rsidRDefault="00A73BE1" w:rsidP="009B1159">
            <w:pPr>
              <w:pStyle w:val="ListParagraph"/>
              <w:numPr>
                <w:ilvl w:val="0"/>
                <w:numId w:val="19"/>
              </w:numPr>
              <w:rPr>
                <w:rFonts w:ascii="Calibri" w:hAnsi="Calibri"/>
                <w:color w:val="000000" w:themeColor="text1"/>
                <w:sz w:val="22"/>
              </w:rPr>
            </w:pPr>
            <w:r>
              <w:rPr>
                <w:rFonts w:ascii="Calibri" w:hAnsi="Calibri"/>
                <w:color w:val="000000" w:themeColor="text1"/>
                <w:sz w:val="22"/>
              </w:rPr>
              <w:t>Confirm recording arrangements for Level 4 transition tutorials in 2015.</w:t>
            </w:r>
          </w:p>
          <w:p w:rsidR="00A73BE1" w:rsidRDefault="00A73BE1" w:rsidP="009B1159">
            <w:pPr>
              <w:pStyle w:val="ListParagraph"/>
              <w:numPr>
                <w:ilvl w:val="0"/>
                <w:numId w:val="19"/>
              </w:numPr>
              <w:rPr>
                <w:rFonts w:ascii="Calibri" w:hAnsi="Calibri"/>
                <w:color w:val="000000" w:themeColor="text1"/>
                <w:sz w:val="22"/>
              </w:rPr>
            </w:pPr>
            <w:r>
              <w:rPr>
                <w:rFonts w:ascii="Calibri" w:hAnsi="Calibri"/>
                <w:color w:val="000000" w:themeColor="text1"/>
                <w:sz w:val="22"/>
              </w:rPr>
              <w:t>Investigate potential for using e-portfolio tool as a means to record activity during DSW progress meetings within new course structures.</w:t>
            </w:r>
          </w:p>
          <w:p w:rsidR="00A73BE1" w:rsidRPr="0069037F" w:rsidRDefault="00A73BE1" w:rsidP="006526B1">
            <w:pPr>
              <w:pStyle w:val="ListParagraph"/>
              <w:numPr>
                <w:ilvl w:val="0"/>
                <w:numId w:val="19"/>
              </w:numPr>
              <w:rPr>
                <w:rFonts w:ascii="Calibri" w:hAnsi="Calibri"/>
                <w:color w:val="000000" w:themeColor="text1"/>
                <w:sz w:val="22"/>
              </w:rPr>
            </w:pPr>
            <w:r>
              <w:rPr>
                <w:rFonts w:ascii="Calibri" w:hAnsi="Calibri"/>
                <w:color w:val="000000" w:themeColor="text1"/>
                <w:sz w:val="22"/>
              </w:rPr>
              <w:t>Integrate DSW within Faculty contact hour and personal tutoring schemes for 2016/17.</w:t>
            </w:r>
          </w:p>
        </w:tc>
        <w:tc>
          <w:tcPr>
            <w:tcW w:w="3119" w:type="dxa"/>
          </w:tcPr>
          <w:p w:rsidR="00A73BE1" w:rsidRDefault="00A73BE1" w:rsidP="009B1159">
            <w:pPr>
              <w:pStyle w:val="ListParagraph"/>
              <w:numPr>
                <w:ilvl w:val="0"/>
                <w:numId w:val="20"/>
              </w:numPr>
              <w:ind w:left="317" w:hanging="284"/>
              <w:rPr>
                <w:rFonts w:ascii="Calibri" w:hAnsi="Calibri"/>
                <w:color w:val="000000" w:themeColor="text1"/>
                <w:sz w:val="22"/>
              </w:rPr>
            </w:pPr>
            <w:r>
              <w:rPr>
                <w:rFonts w:ascii="Calibri" w:hAnsi="Calibri"/>
                <w:color w:val="000000" w:themeColor="text1"/>
                <w:sz w:val="22"/>
              </w:rPr>
              <w:t>Average UKES score for Academic Integration to match or exceed LJMU average (currently 3% below).</w:t>
            </w:r>
          </w:p>
          <w:p w:rsidR="00A73BE1" w:rsidRDefault="00A73BE1" w:rsidP="009B1159">
            <w:pPr>
              <w:pStyle w:val="ListParagraph"/>
              <w:numPr>
                <w:ilvl w:val="0"/>
                <w:numId w:val="20"/>
              </w:numPr>
              <w:ind w:left="317" w:hanging="284"/>
              <w:rPr>
                <w:rFonts w:ascii="Calibri" w:hAnsi="Calibri"/>
                <w:color w:val="000000" w:themeColor="text1"/>
                <w:sz w:val="22"/>
              </w:rPr>
            </w:pPr>
            <w:r>
              <w:rPr>
                <w:rFonts w:ascii="Calibri" w:hAnsi="Calibri"/>
                <w:color w:val="000000" w:themeColor="text1"/>
                <w:sz w:val="22"/>
              </w:rPr>
              <w:t>Provide electronic records to personal tutors who adopt tutees who have swapped tutors.</w:t>
            </w:r>
          </w:p>
          <w:p w:rsidR="00A73BE1" w:rsidRPr="000051C1" w:rsidRDefault="00A73BE1" w:rsidP="009B1159">
            <w:pPr>
              <w:pStyle w:val="ListParagraph"/>
              <w:ind w:left="360"/>
              <w:rPr>
                <w:rFonts w:ascii="Calibri" w:hAnsi="Calibri"/>
                <w:color w:val="000000" w:themeColor="text1"/>
                <w:sz w:val="22"/>
              </w:rPr>
            </w:pPr>
          </w:p>
        </w:tc>
        <w:tc>
          <w:tcPr>
            <w:tcW w:w="2693" w:type="dxa"/>
          </w:tcPr>
          <w:p w:rsidR="00A73BE1" w:rsidRPr="000A4119" w:rsidRDefault="00A73BE1" w:rsidP="009B1159">
            <w:pPr>
              <w:ind w:left="34"/>
              <w:rPr>
                <w:rFonts w:ascii="Calibri" w:hAnsi="Calibri"/>
                <w:color w:val="000000" w:themeColor="text1"/>
                <w:sz w:val="22"/>
              </w:rPr>
            </w:pPr>
            <w:r>
              <w:rPr>
                <w:rFonts w:ascii="Calibri" w:hAnsi="Calibri"/>
                <w:color w:val="000000" w:themeColor="text1"/>
                <w:sz w:val="22"/>
              </w:rPr>
              <w:t xml:space="preserve">Led by Associate Dean (Education) during 2015/16.  </w:t>
            </w:r>
          </w:p>
        </w:tc>
        <w:tc>
          <w:tcPr>
            <w:tcW w:w="2693" w:type="dxa"/>
          </w:tcPr>
          <w:p w:rsidR="00A73BE1" w:rsidRPr="00F55EDE" w:rsidRDefault="00A73BE1" w:rsidP="00296425">
            <w:pPr>
              <w:pStyle w:val="ListParagraph"/>
              <w:numPr>
                <w:ilvl w:val="0"/>
                <w:numId w:val="32"/>
              </w:numPr>
              <w:rPr>
                <w:rFonts w:ascii="Calibri" w:hAnsi="Calibri"/>
                <w:color w:val="000000" w:themeColor="text1"/>
                <w:sz w:val="22"/>
              </w:rPr>
            </w:pPr>
            <w:r>
              <w:rPr>
                <w:rFonts w:ascii="Calibri" w:hAnsi="Calibri"/>
                <w:color w:val="000000" w:themeColor="text1"/>
                <w:sz w:val="22"/>
              </w:rPr>
              <w:t>Schemes to be approved by FEC and/or FMT.</w:t>
            </w:r>
          </w:p>
        </w:tc>
      </w:tr>
      <w:tr w:rsidR="00A73BE1" w:rsidRPr="000051C1" w:rsidTr="00B60013">
        <w:tblPrEx>
          <w:tblCellMar>
            <w:top w:w="113" w:type="dxa"/>
            <w:bottom w:w="113" w:type="dxa"/>
          </w:tblCellMar>
        </w:tblPrEx>
        <w:trPr>
          <w:cantSplit/>
        </w:trPr>
        <w:tc>
          <w:tcPr>
            <w:tcW w:w="1101" w:type="dxa"/>
          </w:tcPr>
          <w:p w:rsidR="00A73BE1" w:rsidRPr="00842A91" w:rsidRDefault="00A73BE1" w:rsidP="00B60013">
            <w:pPr>
              <w:rPr>
                <w:rFonts w:ascii="Calibri" w:hAnsi="Calibri"/>
                <w:color w:val="000000" w:themeColor="text1"/>
                <w:sz w:val="22"/>
              </w:rPr>
            </w:pPr>
            <w:r w:rsidRPr="00842A91">
              <w:rPr>
                <w:rFonts w:ascii="Calibri" w:hAnsi="Calibri"/>
                <w:b/>
                <w:color w:val="000000" w:themeColor="text1"/>
                <w:sz w:val="22"/>
              </w:rPr>
              <w:t>LTA Strategy 1</w:t>
            </w:r>
            <w:r w:rsidRPr="00842A91">
              <w:rPr>
                <w:rFonts w:ascii="Calibri" w:hAnsi="Calibri"/>
                <w:color w:val="000000" w:themeColor="text1"/>
                <w:sz w:val="22"/>
              </w:rPr>
              <w:t xml:space="preserve">  </w:t>
            </w:r>
            <w:r w:rsidRPr="00F10E75">
              <w:rPr>
                <w:rFonts w:ascii="Calibri" w:hAnsi="Calibri"/>
                <w:color w:val="000000" w:themeColor="text1"/>
                <w:sz w:val="16"/>
                <w:szCs w:val="16"/>
              </w:rPr>
              <w:t>Excellence in learning, teaching and assessment</w:t>
            </w:r>
          </w:p>
        </w:tc>
        <w:tc>
          <w:tcPr>
            <w:tcW w:w="4819" w:type="dxa"/>
          </w:tcPr>
          <w:p w:rsidR="00A73BE1" w:rsidRDefault="00A73BE1" w:rsidP="00B60013">
            <w:pPr>
              <w:rPr>
                <w:rFonts w:ascii="Calibri" w:hAnsi="Calibri"/>
                <w:color w:val="000000" w:themeColor="text1"/>
                <w:sz w:val="22"/>
              </w:rPr>
            </w:pPr>
            <w:r>
              <w:rPr>
                <w:rFonts w:ascii="Calibri" w:hAnsi="Calibri"/>
                <w:color w:val="000000" w:themeColor="text1"/>
                <w:sz w:val="22"/>
              </w:rPr>
              <w:t xml:space="preserve">Pilot Learning Catalytics (LC) software within the Faculty to promote engagement with </w:t>
            </w:r>
            <w:r w:rsidRPr="00AF291A">
              <w:rPr>
                <w:rFonts w:ascii="Calibri" w:hAnsi="Calibri"/>
                <w:b/>
                <w:color w:val="000000" w:themeColor="text1"/>
                <w:sz w:val="22"/>
              </w:rPr>
              <w:t>teaching</w:t>
            </w:r>
            <w:r>
              <w:rPr>
                <w:rFonts w:ascii="Calibri" w:hAnsi="Calibri"/>
                <w:color w:val="000000" w:themeColor="text1"/>
                <w:sz w:val="22"/>
              </w:rPr>
              <w:t>.</w:t>
            </w:r>
          </w:p>
          <w:p w:rsidR="00A73BE1" w:rsidRDefault="00A73BE1" w:rsidP="00B60013">
            <w:pPr>
              <w:pStyle w:val="ListParagraph"/>
              <w:numPr>
                <w:ilvl w:val="0"/>
                <w:numId w:val="20"/>
              </w:numPr>
              <w:rPr>
                <w:rFonts w:ascii="Calibri" w:hAnsi="Calibri"/>
                <w:color w:val="000000" w:themeColor="text1"/>
                <w:sz w:val="22"/>
              </w:rPr>
            </w:pPr>
            <w:r>
              <w:rPr>
                <w:rFonts w:ascii="Calibri" w:hAnsi="Calibri"/>
                <w:color w:val="000000" w:themeColor="text1"/>
                <w:sz w:val="22"/>
              </w:rPr>
              <w:t>Make software available to staff and students on first year Sports Science programmes.</w:t>
            </w:r>
          </w:p>
          <w:p w:rsidR="00A73BE1" w:rsidRDefault="00A73BE1" w:rsidP="00B60013">
            <w:pPr>
              <w:pStyle w:val="ListParagraph"/>
              <w:numPr>
                <w:ilvl w:val="0"/>
                <w:numId w:val="20"/>
              </w:numPr>
              <w:rPr>
                <w:rFonts w:ascii="Calibri" w:hAnsi="Calibri"/>
                <w:color w:val="000000" w:themeColor="text1"/>
                <w:sz w:val="22"/>
              </w:rPr>
            </w:pPr>
            <w:r>
              <w:rPr>
                <w:rFonts w:ascii="Calibri" w:hAnsi="Calibri"/>
                <w:color w:val="000000" w:themeColor="text1"/>
                <w:sz w:val="22"/>
              </w:rPr>
              <w:t>Organise staff training session with Pearson Education.</w:t>
            </w:r>
          </w:p>
          <w:p w:rsidR="00A73BE1" w:rsidRDefault="00A73BE1" w:rsidP="00B60013">
            <w:pPr>
              <w:pStyle w:val="ListParagraph"/>
              <w:numPr>
                <w:ilvl w:val="0"/>
                <w:numId w:val="20"/>
              </w:numPr>
              <w:rPr>
                <w:rFonts w:ascii="Calibri" w:hAnsi="Calibri"/>
                <w:color w:val="000000" w:themeColor="text1"/>
                <w:sz w:val="22"/>
              </w:rPr>
            </w:pPr>
            <w:r>
              <w:rPr>
                <w:rFonts w:ascii="Calibri" w:hAnsi="Calibri"/>
                <w:color w:val="000000" w:themeColor="text1"/>
                <w:sz w:val="22"/>
              </w:rPr>
              <w:t>Arrange for Pearson Education to visit students in pilot to introduce the system.</w:t>
            </w:r>
          </w:p>
          <w:p w:rsidR="00A73BE1" w:rsidRDefault="00A73BE1" w:rsidP="00B60013">
            <w:pPr>
              <w:pStyle w:val="ListParagraph"/>
              <w:numPr>
                <w:ilvl w:val="0"/>
                <w:numId w:val="20"/>
              </w:numPr>
              <w:rPr>
                <w:rFonts w:ascii="Calibri" w:hAnsi="Calibri"/>
                <w:color w:val="000000" w:themeColor="text1"/>
                <w:sz w:val="22"/>
              </w:rPr>
            </w:pPr>
            <w:r>
              <w:rPr>
                <w:rFonts w:ascii="Calibri" w:hAnsi="Calibri"/>
                <w:color w:val="000000" w:themeColor="text1"/>
                <w:sz w:val="22"/>
              </w:rPr>
              <w:t>Develop user-experience surveys and LC-practice sharing sessions for staff.</w:t>
            </w:r>
          </w:p>
          <w:p w:rsidR="00A73BE1" w:rsidRPr="00B204EC" w:rsidRDefault="00A73BE1" w:rsidP="00B60013">
            <w:pPr>
              <w:pStyle w:val="ListParagraph"/>
              <w:numPr>
                <w:ilvl w:val="0"/>
                <w:numId w:val="20"/>
              </w:numPr>
              <w:rPr>
                <w:rFonts w:ascii="Calibri" w:hAnsi="Calibri"/>
                <w:color w:val="000000" w:themeColor="text1"/>
                <w:sz w:val="22"/>
              </w:rPr>
            </w:pPr>
            <w:r>
              <w:rPr>
                <w:rFonts w:ascii="Calibri" w:hAnsi="Calibri"/>
                <w:color w:val="000000" w:themeColor="text1"/>
                <w:sz w:val="22"/>
              </w:rPr>
              <w:t>Purchase 20 Nexus tablets and make available for loan to pilot students.</w:t>
            </w:r>
          </w:p>
        </w:tc>
        <w:tc>
          <w:tcPr>
            <w:tcW w:w="3119" w:type="dxa"/>
          </w:tcPr>
          <w:p w:rsidR="00A73BE1" w:rsidRDefault="00A73BE1" w:rsidP="004972B4">
            <w:pPr>
              <w:pStyle w:val="ListParagraph"/>
              <w:numPr>
                <w:ilvl w:val="0"/>
                <w:numId w:val="20"/>
              </w:numPr>
              <w:ind w:left="317" w:hanging="283"/>
              <w:rPr>
                <w:rFonts w:ascii="Calibri" w:hAnsi="Calibri"/>
                <w:color w:val="000000" w:themeColor="text1"/>
                <w:sz w:val="22"/>
              </w:rPr>
            </w:pPr>
            <w:r>
              <w:rPr>
                <w:rFonts w:ascii="Calibri" w:hAnsi="Calibri"/>
                <w:color w:val="000000" w:themeColor="text1"/>
                <w:sz w:val="22"/>
              </w:rPr>
              <w:t xml:space="preserve">UKES Level 4 Sports Science </w:t>
            </w:r>
            <w:r w:rsidRPr="007158C3">
              <w:rPr>
                <w:rFonts w:ascii="Calibri" w:hAnsi="Calibri"/>
                <w:color w:val="000000" w:themeColor="text1"/>
                <w:sz w:val="22"/>
              </w:rPr>
              <w:t>High Order Learning</w:t>
            </w:r>
            <w:r>
              <w:rPr>
                <w:rFonts w:ascii="Calibri" w:hAnsi="Calibri"/>
                <w:color w:val="000000" w:themeColor="text1"/>
                <w:sz w:val="22"/>
              </w:rPr>
              <w:t xml:space="preserve"> scores to exceed SCS average in 2015/16.</w:t>
            </w:r>
          </w:p>
          <w:p w:rsidR="00A73BE1" w:rsidRDefault="00A73BE1" w:rsidP="00B60013">
            <w:pPr>
              <w:pStyle w:val="ListParagraph"/>
              <w:ind w:left="360"/>
              <w:rPr>
                <w:rFonts w:ascii="Calibri" w:hAnsi="Calibri"/>
                <w:color w:val="000000" w:themeColor="text1"/>
                <w:sz w:val="22"/>
              </w:rPr>
            </w:pPr>
          </w:p>
          <w:p w:rsidR="00A73BE1" w:rsidRPr="000051C1" w:rsidRDefault="00A73BE1" w:rsidP="00B60013">
            <w:pPr>
              <w:pStyle w:val="ListParagraph"/>
              <w:ind w:left="360"/>
              <w:rPr>
                <w:rFonts w:ascii="Calibri" w:hAnsi="Calibri"/>
                <w:color w:val="000000" w:themeColor="text1"/>
                <w:sz w:val="22"/>
              </w:rPr>
            </w:pPr>
          </w:p>
        </w:tc>
        <w:tc>
          <w:tcPr>
            <w:tcW w:w="2693" w:type="dxa"/>
          </w:tcPr>
          <w:p w:rsidR="00A73BE1" w:rsidRPr="000A4119" w:rsidRDefault="00A73BE1" w:rsidP="00B60013">
            <w:pPr>
              <w:ind w:left="34"/>
              <w:rPr>
                <w:rFonts w:ascii="Calibri" w:hAnsi="Calibri"/>
                <w:color w:val="000000" w:themeColor="text1"/>
                <w:sz w:val="22"/>
              </w:rPr>
            </w:pPr>
            <w:r>
              <w:rPr>
                <w:rFonts w:ascii="Calibri" w:hAnsi="Calibri"/>
                <w:color w:val="000000" w:themeColor="text1"/>
                <w:sz w:val="22"/>
              </w:rPr>
              <w:t xml:space="preserve">Led by Associate Dean (Education) during 2015/16. </w:t>
            </w:r>
          </w:p>
        </w:tc>
        <w:tc>
          <w:tcPr>
            <w:tcW w:w="2693" w:type="dxa"/>
          </w:tcPr>
          <w:p w:rsidR="00A73BE1" w:rsidRDefault="00A73BE1" w:rsidP="00B60013">
            <w:pPr>
              <w:pStyle w:val="ListParagraph"/>
              <w:numPr>
                <w:ilvl w:val="0"/>
                <w:numId w:val="20"/>
              </w:numPr>
              <w:rPr>
                <w:rFonts w:ascii="Calibri" w:hAnsi="Calibri"/>
                <w:color w:val="000000" w:themeColor="text1"/>
                <w:sz w:val="22"/>
              </w:rPr>
            </w:pPr>
            <w:r>
              <w:rPr>
                <w:rFonts w:ascii="Calibri" w:hAnsi="Calibri"/>
                <w:color w:val="000000" w:themeColor="text1"/>
                <w:sz w:val="22"/>
              </w:rPr>
              <w:t>£5000 from FAC for LC software (Sports Science).</w:t>
            </w:r>
          </w:p>
          <w:p w:rsidR="00A73BE1" w:rsidRPr="006526B1" w:rsidRDefault="00A73BE1" w:rsidP="00B60013">
            <w:pPr>
              <w:pStyle w:val="ListParagraph"/>
              <w:numPr>
                <w:ilvl w:val="0"/>
                <w:numId w:val="20"/>
              </w:numPr>
              <w:rPr>
                <w:rFonts w:ascii="Calibri" w:hAnsi="Calibri"/>
                <w:color w:val="000000" w:themeColor="text1"/>
                <w:sz w:val="22"/>
              </w:rPr>
            </w:pPr>
            <w:r w:rsidRPr="006526B1">
              <w:rPr>
                <w:rFonts w:ascii="Calibri" w:hAnsi="Calibri"/>
                <w:color w:val="000000" w:themeColor="text1"/>
                <w:sz w:val="22"/>
              </w:rPr>
              <w:t>£2500 from FAC for tablet purchase and charging station.</w:t>
            </w:r>
          </w:p>
          <w:p w:rsidR="00A73BE1" w:rsidRPr="00F55EDE" w:rsidRDefault="00A73BE1" w:rsidP="00B60013">
            <w:pPr>
              <w:pStyle w:val="ListParagraph"/>
              <w:numPr>
                <w:ilvl w:val="0"/>
                <w:numId w:val="20"/>
              </w:numPr>
              <w:rPr>
                <w:rFonts w:ascii="Calibri" w:hAnsi="Calibri"/>
                <w:color w:val="000000" w:themeColor="text1"/>
                <w:sz w:val="22"/>
              </w:rPr>
            </w:pPr>
            <w:r>
              <w:rPr>
                <w:rFonts w:ascii="Calibri" w:hAnsi="Calibri"/>
                <w:color w:val="000000" w:themeColor="text1"/>
                <w:sz w:val="22"/>
              </w:rPr>
              <w:t>IT Support Desk (Rm 321a) to coordinate tablet loans.</w:t>
            </w:r>
          </w:p>
        </w:tc>
      </w:tr>
      <w:tr w:rsidR="00A73BE1" w:rsidRPr="000051C1" w:rsidTr="00BA1C8C">
        <w:tblPrEx>
          <w:tblCellMar>
            <w:top w:w="113" w:type="dxa"/>
            <w:bottom w:w="113" w:type="dxa"/>
          </w:tblCellMar>
        </w:tblPrEx>
        <w:trPr>
          <w:cantSplit/>
        </w:trPr>
        <w:tc>
          <w:tcPr>
            <w:tcW w:w="1101" w:type="dxa"/>
          </w:tcPr>
          <w:p w:rsidR="00A73BE1" w:rsidRPr="00842A91" w:rsidRDefault="00A73BE1" w:rsidP="009B1159">
            <w:pPr>
              <w:rPr>
                <w:rFonts w:ascii="Calibri" w:hAnsi="Calibri"/>
                <w:color w:val="000000" w:themeColor="text1"/>
                <w:sz w:val="22"/>
              </w:rPr>
            </w:pPr>
            <w:r w:rsidRPr="00842A91">
              <w:rPr>
                <w:rFonts w:ascii="Calibri" w:hAnsi="Calibri"/>
                <w:b/>
                <w:color w:val="000000" w:themeColor="text1"/>
                <w:sz w:val="22"/>
              </w:rPr>
              <w:t>LTA Strategy 1</w:t>
            </w:r>
            <w:r w:rsidRPr="00842A91">
              <w:rPr>
                <w:rFonts w:ascii="Calibri" w:hAnsi="Calibri"/>
                <w:color w:val="000000" w:themeColor="text1"/>
                <w:sz w:val="22"/>
              </w:rPr>
              <w:t xml:space="preserve">  </w:t>
            </w:r>
            <w:r w:rsidRPr="008F5FD1">
              <w:rPr>
                <w:rFonts w:ascii="Calibri" w:hAnsi="Calibri"/>
                <w:color w:val="000000" w:themeColor="text1"/>
                <w:sz w:val="16"/>
                <w:szCs w:val="16"/>
              </w:rPr>
              <w:t>Excellence in learning, teaching and assessment</w:t>
            </w:r>
          </w:p>
        </w:tc>
        <w:tc>
          <w:tcPr>
            <w:tcW w:w="4819" w:type="dxa"/>
          </w:tcPr>
          <w:p w:rsidR="00A73BE1" w:rsidRPr="00067D92" w:rsidRDefault="00A73BE1" w:rsidP="009B1159">
            <w:pPr>
              <w:rPr>
                <w:rFonts w:ascii="Calibri" w:hAnsi="Calibri"/>
                <w:color w:val="000000" w:themeColor="text1"/>
                <w:sz w:val="22"/>
              </w:rPr>
            </w:pPr>
            <w:r w:rsidRPr="00067D92">
              <w:rPr>
                <w:rFonts w:ascii="Calibri" w:hAnsi="Calibri"/>
                <w:color w:val="000000" w:themeColor="text1"/>
                <w:sz w:val="22"/>
              </w:rPr>
              <w:t xml:space="preserve">Renew licence for </w:t>
            </w:r>
            <w:r>
              <w:rPr>
                <w:rFonts w:ascii="Calibri" w:hAnsi="Calibri"/>
                <w:color w:val="000000" w:themeColor="text1"/>
                <w:sz w:val="22"/>
              </w:rPr>
              <w:t xml:space="preserve">online </w:t>
            </w:r>
            <w:r w:rsidRPr="00067D92">
              <w:rPr>
                <w:rFonts w:ascii="Calibri" w:hAnsi="Calibri"/>
                <w:color w:val="000000" w:themeColor="text1"/>
                <w:sz w:val="22"/>
              </w:rPr>
              <w:t>Textwall app</w:t>
            </w:r>
            <w:r>
              <w:rPr>
                <w:rFonts w:ascii="Calibri" w:hAnsi="Calibri"/>
                <w:color w:val="000000" w:themeColor="text1"/>
                <w:sz w:val="22"/>
              </w:rPr>
              <w:t>lication</w:t>
            </w:r>
            <w:r w:rsidRPr="00067D92">
              <w:rPr>
                <w:rFonts w:ascii="Calibri" w:hAnsi="Calibri"/>
                <w:color w:val="000000" w:themeColor="text1"/>
                <w:sz w:val="22"/>
              </w:rPr>
              <w:t xml:space="preserve"> that </w:t>
            </w:r>
            <w:r>
              <w:rPr>
                <w:rFonts w:ascii="Calibri" w:hAnsi="Calibri"/>
                <w:color w:val="000000" w:themeColor="text1"/>
                <w:sz w:val="22"/>
              </w:rPr>
              <w:t>enables</w:t>
            </w:r>
            <w:r w:rsidRPr="00067D92">
              <w:rPr>
                <w:rFonts w:ascii="Calibri" w:hAnsi="Calibri"/>
                <w:color w:val="000000" w:themeColor="text1"/>
                <w:sz w:val="22"/>
              </w:rPr>
              <w:t xml:space="preserve"> student</w:t>
            </w:r>
            <w:r>
              <w:rPr>
                <w:rFonts w:ascii="Calibri" w:hAnsi="Calibri"/>
                <w:color w:val="000000" w:themeColor="text1"/>
                <w:sz w:val="22"/>
              </w:rPr>
              <w:t>s</w:t>
            </w:r>
            <w:r w:rsidRPr="00067D92">
              <w:rPr>
                <w:rFonts w:ascii="Calibri" w:hAnsi="Calibri"/>
                <w:color w:val="000000" w:themeColor="text1"/>
                <w:sz w:val="22"/>
              </w:rPr>
              <w:t xml:space="preserve"> </w:t>
            </w:r>
            <w:r>
              <w:rPr>
                <w:rFonts w:ascii="Calibri" w:hAnsi="Calibri"/>
                <w:color w:val="000000" w:themeColor="text1"/>
                <w:sz w:val="22"/>
              </w:rPr>
              <w:t>to text</w:t>
            </w:r>
            <w:r w:rsidRPr="00067D92">
              <w:rPr>
                <w:rFonts w:ascii="Calibri" w:hAnsi="Calibri"/>
                <w:color w:val="000000" w:themeColor="text1"/>
                <w:sz w:val="22"/>
              </w:rPr>
              <w:t xml:space="preserve"> lecturers and MCQ voting during </w:t>
            </w:r>
            <w:r w:rsidRPr="00AF291A">
              <w:rPr>
                <w:rFonts w:ascii="Calibri" w:hAnsi="Calibri"/>
                <w:b/>
                <w:color w:val="000000" w:themeColor="text1"/>
                <w:sz w:val="22"/>
              </w:rPr>
              <w:t>teaching</w:t>
            </w:r>
            <w:r>
              <w:rPr>
                <w:rFonts w:ascii="Calibri" w:hAnsi="Calibri"/>
                <w:color w:val="000000" w:themeColor="text1"/>
                <w:sz w:val="22"/>
              </w:rPr>
              <w:t xml:space="preserve"> sessions</w:t>
            </w:r>
            <w:r w:rsidRPr="00067D92">
              <w:rPr>
                <w:rFonts w:ascii="Calibri" w:hAnsi="Calibri"/>
                <w:color w:val="000000" w:themeColor="text1"/>
                <w:sz w:val="22"/>
              </w:rPr>
              <w:t>.</w:t>
            </w:r>
          </w:p>
          <w:p w:rsidR="00A73BE1" w:rsidRPr="000051C1" w:rsidRDefault="00A73BE1" w:rsidP="009B1159">
            <w:pPr>
              <w:pStyle w:val="ListParagraph"/>
              <w:ind w:left="360"/>
              <w:rPr>
                <w:rFonts w:ascii="Calibri" w:hAnsi="Calibri"/>
                <w:color w:val="000000" w:themeColor="text1"/>
                <w:sz w:val="22"/>
              </w:rPr>
            </w:pPr>
          </w:p>
        </w:tc>
        <w:tc>
          <w:tcPr>
            <w:tcW w:w="3119" w:type="dxa"/>
          </w:tcPr>
          <w:p w:rsidR="00A73BE1" w:rsidRDefault="00A73BE1" w:rsidP="004972B4">
            <w:pPr>
              <w:pStyle w:val="ListParagraph"/>
              <w:numPr>
                <w:ilvl w:val="0"/>
                <w:numId w:val="20"/>
              </w:numPr>
              <w:ind w:left="317" w:hanging="283"/>
              <w:rPr>
                <w:rFonts w:ascii="Calibri" w:hAnsi="Calibri"/>
                <w:color w:val="000000" w:themeColor="text1"/>
                <w:sz w:val="22"/>
              </w:rPr>
            </w:pPr>
            <w:r>
              <w:rPr>
                <w:rFonts w:ascii="Calibri" w:hAnsi="Calibri"/>
                <w:color w:val="000000" w:themeColor="text1"/>
                <w:sz w:val="22"/>
              </w:rPr>
              <w:t>NSS Scores for Teaching on my Course to increase from 2015 to 2016.</w:t>
            </w:r>
          </w:p>
          <w:p w:rsidR="00A73BE1" w:rsidRPr="000051C1" w:rsidRDefault="00A73BE1" w:rsidP="004972B4">
            <w:pPr>
              <w:pStyle w:val="ListParagraph"/>
              <w:numPr>
                <w:ilvl w:val="0"/>
                <w:numId w:val="20"/>
              </w:numPr>
              <w:ind w:left="317" w:hanging="283"/>
              <w:rPr>
                <w:rFonts w:ascii="Calibri" w:hAnsi="Calibri"/>
                <w:color w:val="000000" w:themeColor="text1"/>
                <w:sz w:val="22"/>
              </w:rPr>
            </w:pPr>
            <w:r>
              <w:rPr>
                <w:rFonts w:ascii="Calibri" w:hAnsi="Calibri"/>
                <w:color w:val="000000" w:themeColor="text1"/>
                <w:sz w:val="22"/>
              </w:rPr>
              <w:t>Increase number of Textwall account holders (currently 93).</w:t>
            </w:r>
          </w:p>
        </w:tc>
        <w:tc>
          <w:tcPr>
            <w:tcW w:w="2693" w:type="dxa"/>
          </w:tcPr>
          <w:p w:rsidR="00A73BE1" w:rsidRPr="000A4119" w:rsidRDefault="00A73BE1" w:rsidP="0088323D">
            <w:pPr>
              <w:ind w:left="34"/>
              <w:rPr>
                <w:rFonts w:ascii="Calibri" w:hAnsi="Calibri"/>
                <w:color w:val="000000" w:themeColor="text1"/>
                <w:sz w:val="22"/>
              </w:rPr>
            </w:pPr>
            <w:r>
              <w:rPr>
                <w:rFonts w:ascii="Calibri" w:hAnsi="Calibri"/>
                <w:color w:val="000000" w:themeColor="text1"/>
                <w:sz w:val="22"/>
              </w:rPr>
              <w:t>Led by Associate Dean (Education) during 2015/16.</w:t>
            </w:r>
          </w:p>
        </w:tc>
        <w:tc>
          <w:tcPr>
            <w:tcW w:w="2693" w:type="dxa"/>
          </w:tcPr>
          <w:p w:rsidR="00A73BE1" w:rsidRPr="00895F48" w:rsidRDefault="00A73BE1" w:rsidP="009B1159">
            <w:pPr>
              <w:pStyle w:val="ListParagraph"/>
              <w:numPr>
                <w:ilvl w:val="0"/>
                <w:numId w:val="24"/>
              </w:numPr>
              <w:rPr>
                <w:rFonts w:ascii="Calibri" w:hAnsi="Calibri"/>
                <w:color w:val="000000" w:themeColor="text1"/>
                <w:sz w:val="22"/>
              </w:rPr>
            </w:pPr>
            <w:r w:rsidRPr="00895F48">
              <w:rPr>
                <w:rFonts w:ascii="Calibri" w:hAnsi="Calibri"/>
                <w:color w:val="000000" w:themeColor="text1"/>
                <w:sz w:val="22"/>
              </w:rPr>
              <w:t>£700 Textwall licence</w:t>
            </w:r>
            <w:r>
              <w:rPr>
                <w:rFonts w:ascii="Calibri" w:hAnsi="Calibri"/>
                <w:color w:val="000000" w:themeColor="text1"/>
                <w:sz w:val="22"/>
              </w:rPr>
              <w:t xml:space="preserve"> from FCEP.</w:t>
            </w:r>
          </w:p>
          <w:p w:rsidR="00A73BE1" w:rsidRPr="00895F48" w:rsidRDefault="00A73BE1" w:rsidP="009B1159">
            <w:pPr>
              <w:pStyle w:val="ListParagraph"/>
              <w:ind w:left="360"/>
              <w:rPr>
                <w:rFonts w:ascii="Calibri" w:hAnsi="Calibri"/>
                <w:color w:val="000000" w:themeColor="text1"/>
                <w:sz w:val="22"/>
              </w:rPr>
            </w:pPr>
          </w:p>
        </w:tc>
      </w:tr>
      <w:tr w:rsidR="00A73BE1" w:rsidRPr="000051C1" w:rsidTr="00771BCF">
        <w:tblPrEx>
          <w:tblCellMar>
            <w:top w:w="113" w:type="dxa"/>
            <w:bottom w:w="113" w:type="dxa"/>
          </w:tblCellMar>
        </w:tblPrEx>
        <w:trPr>
          <w:cantSplit/>
        </w:trPr>
        <w:tc>
          <w:tcPr>
            <w:tcW w:w="1101" w:type="dxa"/>
          </w:tcPr>
          <w:p w:rsidR="00A73BE1" w:rsidRPr="00842A91" w:rsidRDefault="00A73BE1" w:rsidP="00771BCF">
            <w:pPr>
              <w:rPr>
                <w:rFonts w:ascii="Calibri" w:hAnsi="Calibri"/>
                <w:color w:val="000000" w:themeColor="text1"/>
                <w:sz w:val="22"/>
              </w:rPr>
            </w:pPr>
            <w:r w:rsidRPr="00842A91">
              <w:rPr>
                <w:rFonts w:ascii="Calibri" w:hAnsi="Calibri"/>
                <w:b/>
                <w:color w:val="000000" w:themeColor="text1"/>
                <w:sz w:val="22"/>
              </w:rPr>
              <w:lastRenderedPageBreak/>
              <w:t xml:space="preserve">LTA Strategy  </w:t>
            </w:r>
            <w:r>
              <w:rPr>
                <w:rFonts w:ascii="Calibri" w:hAnsi="Calibri"/>
                <w:b/>
                <w:color w:val="000000" w:themeColor="text1"/>
                <w:sz w:val="22"/>
              </w:rPr>
              <w:t>1-</w:t>
            </w:r>
            <w:r w:rsidRPr="00842A91">
              <w:rPr>
                <w:rFonts w:ascii="Calibri" w:hAnsi="Calibri"/>
                <w:b/>
                <w:color w:val="000000" w:themeColor="text1"/>
                <w:sz w:val="22"/>
              </w:rPr>
              <w:t>2</w:t>
            </w:r>
            <w:r w:rsidRPr="00842A91">
              <w:rPr>
                <w:rFonts w:ascii="Calibri" w:hAnsi="Calibri"/>
                <w:color w:val="000000" w:themeColor="text1"/>
                <w:sz w:val="22"/>
              </w:rPr>
              <w:t xml:space="preserve"> </w:t>
            </w:r>
          </w:p>
        </w:tc>
        <w:tc>
          <w:tcPr>
            <w:tcW w:w="4819" w:type="dxa"/>
          </w:tcPr>
          <w:p w:rsidR="00A73BE1" w:rsidRDefault="00A73BE1" w:rsidP="00771BCF">
            <w:pPr>
              <w:rPr>
                <w:rFonts w:ascii="Calibri" w:hAnsi="Calibri"/>
                <w:color w:val="000000" w:themeColor="text1"/>
                <w:sz w:val="22"/>
              </w:rPr>
            </w:pPr>
            <w:r>
              <w:rPr>
                <w:rFonts w:ascii="Calibri" w:hAnsi="Calibri"/>
                <w:color w:val="000000" w:themeColor="text1"/>
                <w:sz w:val="22"/>
              </w:rPr>
              <w:t>Notion of printing names on student laboratory coats raised during the Faculty Pedagogic Research Group’s Journal Club discussions:</w:t>
            </w:r>
          </w:p>
          <w:p w:rsidR="00A73BE1" w:rsidRDefault="00A73BE1" w:rsidP="00771BCF">
            <w:pPr>
              <w:pStyle w:val="ListParagraph"/>
              <w:numPr>
                <w:ilvl w:val="0"/>
                <w:numId w:val="24"/>
              </w:numPr>
              <w:rPr>
                <w:rFonts w:ascii="Calibri" w:hAnsi="Calibri"/>
                <w:color w:val="000000" w:themeColor="text1"/>
                <w:sz w:val="22"/>
              </w:rPr>
            </w:pPr>
            <w:r>
              <w:rPr>
                <w:rFonts w:ascii="Calibri" w:hAnsi="Calibri"/>
                <w:color w:val="000000" w:themeColor="text1"/>
                <w:sz w:val="22"/>
              </w:rPr>
              <w:t xml:space="preserve">Name-learning acknowledged as a key facilitator of successful transition into HE and subsequent </w:t>
            </w:r>
            <w:r>
              <w:rPr>
                <w:rFonts w:ascii="Calibri" w:hAnsi="Calibri"/>
                <w:b/>
                <w:color w:val="000000" w:themeColor="text1"/>
                <w:sz w:val="22"/>
              </w:rPr>
              <w:t>retention</w:t>
            </w:r>
            <w:r>
              <w:rPr>
                <w:rFonts w:ascii="Calibri" w:hAnsi="Calibri"/>
                <w:color w:val="000000" w:themeColor="text1"/>
                <w:sz w:val="22"/>
              </w:rPr>
              <w:t>.</w:t>
            </w:r>
          </w:p>
          <w:p w:rsidR="00A73BE1" w:rsidRDefault="00A73BE1" w:rsidP="00771BCF">
            <w:pPr>
              <w:pStyle w:val="ListParagraph"/>
              <w:numPr>
                <w:ilvl w:val="0"/>
                <w:numId w:val="24"/>
              </w:numPr>
              <w:rPr>
                <w:rFonts w:ascii="Calibri" w:hAnsi="Calibri"/>
                <w:color w:val="000000" w:themeColor="text1"/>
                <w:sz w:val="22"/>
              </w:rPr>
            </w:pPr>
            <w:r>
              <w:rPr>
                <w:rFonts w:ascii="Calibri" w:hAnsi="Calibri"/>
                <w:color w:val="000000" w:themeColor="text1"/>
                <w:sz w:val="22"/>
              </w:rPr>
              <w:t>Could also be used to print students’ programme names to foster cohort identity.</w:t>
            </w:r>
          </w:p>
          <w:p w:rsidR="00A73BE1" w:rsidRPr="0028492B" w:rsidRDefault="00A73BE1" w:rsidP="00771BCF">
            <w:pPr>
              <w:pStyle w:val="ListParagraph"/>
              <w:numPr>
                <w:ilvl w:val="0"/>
                <w:numId w:val="24"/>
              </w:numPr>
              <w:rPr>
                <w:rFonts w:ascii="Calibri" w:hAnsi="Calibri"/>
                <w:color w:val="000000" w:themeColor="text1"/>
                <w:sz w:val="22"/>
              </w:rPr>
            </w:pPr>
            <w:r>
              <w:rPr>
                <w:rFonts w:ascii="Calibri" w:hAnsi="Calibri"/>
                <w:color w:val="000000" w:themeColor="text1"/>
                <w:sz w:val="22"/>
              </w:rPr>
              <w:t>Obtain a hand-held digital printer and confirm permanency of dye.</w:t>
            </w:r>
          </w:p>
        </w:tc>
        <w:tc>
          <w:tcPr>
            <w:tcW w:w="3119" w:type="dxa"/>
          </w:tcPr>
          <w:p w:rsidR="00A73BE1" w:rsidRPr="000051C1" w:rsidRDefault="00A73BE1" w:rsidP="00771BCF">
            <w:pPr>
              <w:pStyle w:val="ListParagraph"/>
              <w:numPr>
                <w:ilvl w:val="0"/>
                <w:numId w:val="20"/>
              </w:numPr>
              <w:rPr>
                <w:rFonts w:ascii="Calibri" w:hAnsi="Calibri"/>
                <w:color w:val="000000" w:themeColor="text1"/>
                <w:sz w:val="22"/>
              </w:rPr>
            </w:pPr>
            <w:r>
              <w:rPr>
                <w:rFonts w:ascii="Calibri" w:hAnsi="Calibri"/>
                <w:color w:val="000000" w:themeColor="text1"/>
                <w:sz w:val="22"/>
              </w:rPr>
              <w:t>Value of innovation to be assessed through evaluation at end of year.</w:t>
            </w:r>
          </w:p>
        </w:tc>
        <w:tc>
          <w:tcPr>
            <w:tcW w:w="2693" w:type="dxa"/>
          </w:tcPr>
          <w:p w:rsidR="00A73BE1" w:rsidRPr="000A4119" w:rsidRDefault="00A73BE1" w:rsidP="00771BCF">
            <w:pPr>
              <w:ind w:left="34"/>
              <w:rPr>
                <w:rFonts w:ascii="Calibri" w:hAnsi="Calibri"/>
                <w:color w:val="000000" w:themeColor="text1"/>
                <w:sz w:val="22"/>
              </w:rPr>
            </w:pPr>
            <w:r>
              <w:rPr>
                <w:rFonts w:ascii="Calibri" w:hAnsi="Calibri"/>
                <w:color w:val="000000" w:themeColor="text1"/>
                <w:sz w:val="22"/>
              </w:rPr>
              <w:t>Led by SCS Associate Dean (Education) and FET Associate Dean (Education) during 2015/16.</w:t>
            </w:r>
          </w:p>
        </w:tc>
        <w:tc>
          <w:tcPr>
            <w:tcW w:w="2693" w:type="dxa"/>
          </w:tcPr>
          <w:p w:rsidR="00A73BE1" w:rsidRPr="00895F48" w:rsidRDefault="00A73BE1" w:rsidP="0048434D">
            <w:pPr>
              <w:pStyle w:val="ListParagraph"/>
              <w:numPr>
                <w:ilvl w:val="0"/>
                <w:numId w:val="25"/>
              </w:numPr>
              <w:rPr>
                <w:rFonts w:ascii="Calibri" w:hAnsi="Calibri"/>
                <w:color w:val="000000" w:themeColor="text1"/>
                <w:sz w:val="22"/>
              </w:rPr>
            </w:pPr>
            <w:r>
              <w:rPr>
                <w:rFonts w:ascii="Calibri" w:hAnsi="Calibri"/>
                <w:color w:val="000000" w:themeColor="text1"/>
                <w:sz w:val="22"/>
              </w:rPr>
              <w:t>£1200 contribution to printer from FCEP, shared cost with Faculty of Engineering and Technology.</w:t>
            </w:r>
          </w:p>
        </w:tc>
      </w:tr>
      <w:tr w:rsidR="00A73BE1" w:rsidRPr="000051C1" w:rsidTr="00BA1C8C">
        <w:tblPrEx>
          <w:tblCellMar>
            <w:top w:w="113" w:type="dxa"/>
            <w:bottom w:w="113" w:type="dxa"/>
          </w:tblCellMar>
        </w:tblPrEx>
        <w:trPr>
          <w:cantSplit/>
        </w:trPr>
        <w:tc>
          <w:tcPr>
            <w:tcW w:w="1101" w:type="dxa"/>
          </w:tcPr>
          <w:p w:rsidR="00A73BE1" w:rsidRPr="00842A91" w:rsidRDefault="00A73BE1" w:rsidP="00842A91">
            <w:pPr>
              <w:rPr>
                <w:rFonts w:ascii="Calibri" w:hAnsi="Calibri"/>
                <w:color w:val="000000" w:themeColor="text1"/>
                <w:sz w:val="22"/>
              </w:rPr>
            </w:pPr>
            <w:r w:rsidRPr="00842A91">
              <w:rPr>
                <w:rFonts w:ascii="Calibri" w:hAnsi="Calibri"/>
                <w:b/>
                <w:color w:val="000000" w:themeColor="text1"/>
                <w:sz w:val="22"/>
              </w:rPr>
              <w:t>LTA Strategy  2</w:t>
            </w:r>
            <w:r w:rsidRPr="00842A91">
              <w:rPr>
                <w:rFonts w:ascii="Calibri" w:hAnsi="Calibri"/>
                <w:color w:val="000000" w:themeColor="text1"/>
                <w:sz w:val="22"/>
              </w:rPr>
              <w:t xml:space="preserve"> </w:t>
            </w:r>
            <w:r w:rsidRPr="00136D68">
              <w:rPr>
                <w:rFonts w:ascii="Calibri" w:hAnsi="Calibri"/>
                <w:color w:val="000000" w:themeColor="text1"/>
                <w:sz w:val="16"/>
                <w:szCs w:val="16"/>
              </w:rPr>
              <w:t>Embedding research and scholarship (LTA related)</w:t>
            </w:r>
          </w:p>
        </w:tc>
        <w:tc>
          <w:tcPr>
            <w:tcW w:w="4819" w:type="dxa"/>
          </w:tcPr>
          <w:p w:rsidR="00A73BE1" w:rsidRPr="006334E6" w:rsidRDefault="00A73BE1" w:rsidP="00842A91">
            <w:pPr>
              <w:rPr>
                <w:rFonts w:ascii="Calibri" w:hAnsi="Calibri"/>
                <w:color w:val="000000" w:themeColor="text1"/>
                <w:sz w:val="22"/>
              </w:rPr>
            </w:pPr>
            <w:r>
              <w:rPr>
                <w:rFonts w:ascii="Calibri" w:hAnsi="Calibri"/>
                <w:color w:val="000000" w:themeColor="text1"/>
                <w:sz w:val="22"/>
              </w:rPr>
              <w:t>Continue</w:t>
            </w:r>
            <w:r w:rsidRPr="006334E6">
              <w:rPr>
                <w:rFonts w:ascii="Calibri" w:hAnsi="Calibri"/>
                <w:color w:val="000000" w:themeColor="text1"/>
                <w:sz w:val="22"/>
              </w:rPr>
              <w:t xml:space="preserve"> to support </w:t>
            </w:r>
            <w:r>
              <w:rPr>
                <w:rFonts w:ascii="Calibri" w:hAnsi="Calibri"/>
                <w:color w:val="000000" w:themeColor="text1"/>
                <w:sz w:val="22"/>
              </w:rPr>
              <w:t>pedagogic</w:t>
            </w:r>
            <w:r w:rsidRPr="006334E6">
              <w:rPr>
                <w:rFonts w:ascii="Calibri" w:hAnsi="Calibri"/>
                <w:color w:val="000000" w:themeColor="text1"/>
                <w:sz w:val="22"/>
              </w:rPr>
              <w:t xml:space="preserve"> res</w:t>
            </w:r>
            <w:r>
              <w:rPr>
                <w:rFonts w:ascii="Calibri" w:hAnsi="Calibri"/>
                <w:color w:val="000000" w:themeColor="text1"/>
                <w:sz w:val="22"/>
              </w:rPr>
              <w:t>earch and enhance dissemination mechanisms.</w:t>
            </w:r>
          </w:p>
          <w:p w:rsidR="00A73BE1" w:rsidRDefault="00A73BE1" w:rsidP="00842A91">
            <w:pPr>
              <w:pStyle w:val="ListParagraph"/>
              <w:numPr>
                <w:ilvl w:val="0"/>
                <w:numId w:val="19"/>
              </w:numPr>
              <w:rPr>
                <w:rFonts w:ascii="Calibri" w:hAnsi="Calibri"/>
                <w:color w:val="000000" w:themeColor="text1"/>
                <w:sz w:val="22"/>
              </w:rPr>
            </w:pPr>
            <w:r>
              <w:rPr>
                <w:rFonts w:ascii="Calibri" w:hAnsi="Calibri"/>
                <w:color w:val="000000" w:themeColor="text1"/>
                <w:sz w:val="22"/>
              </w:rPr>
              <w:t>Offer funding for attendance at non-subject specific pedagogic conferences/meetings.</w:t>
            </w:r>
          </w:p>
          <w:p w:rsidR="00A73BE1" w:rsidRDefault="00A73BE1" w:rsidP="00842A91">
            <w:pPr>
              <w:pStyle w:val="ListParagraph"/>
              <w:numPr>
                <w:ilvl w:val="0"/>
                <w:numId w:val="19"/>
              </w:numPr>
              <w:rPr>
                <w:rFonts w:ascii="Calibri" w:hAnsi="Calibri"/>
                <w:color w:val="000000" w:themeColor="text1"/>
                <w:sz w:val="22"/>
              </w:rPr>
            </w:pPr>
            <w:r>
              <w:rPr>
                <w:rFonts w:ascii="Calibri" w:hAnsi="Calibri"/>
                <w:color w:val="000000" w:themeColor="text1"/>
                <w:sz w:val="22"/>
              </w:rPr>
              <w:t>Require that funded staff report back and that these reports are stored on the Faculty LTA website.</w:t>
            </w:r>
          </w:p>
          <w:p w:rsidR="00A73BE1" w:rsidRDefault="00A73BE1" w:rsidP="00842A91">
            <w:pPr>
              <w:pStyle w:val="ListParagraph"/>
              <w:numPr>
                <w:ilvl w:val="0"/>
                <w:numId w:val="19"/>
              </w:numPr>
              <w:rPr>
                <w:rFonts w:ascii="Calibri" w:hAnsi="Calibri"/>
                <w:color w:val="000000" w:themeColor="text1"/>
                <w:sz w:val="22"/>
              </w:rPr>
            </w:pPr>
            <w:r>
              <w:rPr>
                <w:rFonts w:ascii="Calibri" w:hAnsi="Calibri"/>
                <w:color w:val="000000" w:themeColor="text1"/>
                <w:sz w:val="22"/>
              </w:rPr>
              <w:t>Continue Faculty Pedagogic Research Group and trial Journal Club as a separate event.</w:t>
            </w:r>
          </w:p>
          <w:p w:rsidR="00A73BE1" w:rsidRPr="00895F48" w:rsidRDefault="00A73BE1" w:rsidP="00842A91">
            <w:pPr>
              <w:pStyle w:val="ListParagraph"/>
              <w:numPr>
                <w:ilvl w:val="0"/>
                <w:numId w:val="19"/>
              </w:numPr>
              <w:rPr>
                <w:rFonts w:ascii="Calibri" w:hAnsi="Calibri"/>
                <w:color w:val="000000" w:themeColor="text1"/>
                <w:sz w:val="22"/>
              </w:rPr>
            </w:pPr>
            <w:r>
              <w:rPr>
                <w:rFonts w:ascii="Calibri" w:hAnsi="Calibri"/>
                <w:color w:val="000000" w:themeColor="text1"/>
                <w:sz w:val="22"/>
              </w:rPr>
              <w:t>Offer funding to support visits by external speakers for Faculty-specific presentations that are not suited to RAP.</w:t>
            </w:r>
          </w:p>
        </w:tc>
        <w:tc>
          <w:tcPr>
            <w:tcW w:w="3119" w:type="dxa"/>
          </w:tcPr>
          <w:p w:rsidR="00A73BE1" w:rsidRDefault="00A73BE1" w:rsidP="00842A91">
            <w:pPr>
              <w:pStyle w:val="ListParagraph"/>
              <w:numPr>
                <w:ilvl w:val="0"/>
                <w:numId w:val="20"/>
              </w:numPr>
              <w:rPr>
                <w:rFonts w:ascii="Calibri" w:hAnsi="Calibri"/>
                <w:color w:val="000000" w:themeColor="text1"/>
                <w:sz w:val="22"/>
              </w:rPr>
            </w:pPr>
            <w:r>
              <w:rPr>
                <w:rFonts w:ascii="Calibri" w:hAnsi="Calibri"/>
                <w:color w:val="000000" w:themeColor="text1"/>
                <w:sz w:val="22"/>
              </w:rPr>
              <w:t>Number of SCS staff peer-reviewed pedagogic publications in 2015 to exceed 2014 (5 publications)</w:t>
            </w:r>
          </w:p>
          <w:p w:rsidR="00A73BE1" w:rsidRPr="000051C1" w:rsidRDefault="00A73BE1" w:rsidP="00842A91">
            <w:pPr>
              <w:pStyle w:val="ListParagraph"/>
              <w:ind w:left="360"/>
              <w:rPr>
                <w:rFonts w:ascii="Calibri" w:hAnsi="Calibri"/>
                <w:color w:val="000000" w:themeColor="text1"/>
                <w:sz w:val="22"/>
              </w:rPr>
            </w:pPr>
          </w:p>
        </w:tc>
        <w:tc>
          <w:tcPr>
            <w:tcW w:w="2693" w:type="dxa"/>
          </w:tcPr>
          <w:p w:rsidR="00A73BE1" w:rsidRPr="000A4119" w:rsidRDefault="00A73BE1" w:rsidP="00842A91">
            <w:pPr>
              <w:ind w:left="34"/>
              <w:rPr>
                <w:rFonts w:ascii="Calibri" w:hAnsi="Calibri"/>
                <w:color w:val="000000" w:themeColor="text1"/>
                <w:sz w:val="22"/>
              </w:rPr>
            </w:pPr>
            <w:r>
              <w:rPr>
                <w:rFonts w:ascii="Calibri" w:hAnsi="Calibri"/>
                <w:color w:val="000000" w:themeColor="text1"/>
                <w:sz w:val="22"/>
              </w:rPr>
              <w:t>Associate Dean (Education)</w:t>
            </w:r>
          </w:p>
        </w:tc>
        <w:tc>
          <w:tcPr>
            <w:tcW w:w="2693" w:type="dxa"/>
          </w:tcPr>
          <w:p w:rsidR="00A73BE1" w:rsidRDefault="00A73BE1" w:rsidP="00067D92">
            <w:pPr>
              <w:pStyle w:val="ListParagraph"/>
              <w:numPr>
                <w:ilvl w:val="0"/>
                <w:numId w:val="25"/>
              </w:numPr>
              <w:rPr>
                <w:rFonts w:ascii="Calibri" w:hAnsi="Calibri"/>
                <w:color w:val="000000" w:themeColor="text1"/>
                <w:sz w:val="22"/>
              </w:rPr>
            </w:pPr>
            <w:r>
              <w:rPr>
                <w:rFonts w:ascii="Calibri" w:hAnsi="Calibri"/>
                <w:color w:val="000000" w:themeColor="text1"/>
                <w:sz w:val="22"/>
              </w:rPr>
              <w:t>£600 for conferences/ meetings from FCEP.</w:t>
            </w:r>
          </w:p>
          <w:p w:rsidR="00A73BE1" w:rsidRPr="00895F48" w:rsidRDefault="00A73BE1" w:rsidP="00FA488F">
            <w:pPr>
              <w:pStyle w:val="ListParagraph"/>
              <w:numPr>
                <w:ilvl w:val="0"/>
                <w:numId w:val="25"/>
              </w:numPr>
              <w:rPr>
                <w:rFonts w:ascii="Calibri" w:hAnsi="Calibri"/>
                <w:color w:val="000000" w:themeColor="text1"/>
                <w:sz w:val="22"/>
              </w:rPr>
            </w:pPr>
            <w:r>
              <w:rPr>
                <w:rFonts w:ascii="Calibri" w:hAnsi="Calibri"/>
                <w:color w:val="000000" w:themeColor="text1"/>
                <w:sz w:val="22"/>
              </w:rPr>
              <w:t>£140 for Faculty Pedagogic Research Group catering from FCEP.</w:t>
            </w:r>
          </w:p>
        </w:tc>
      </w:tr>
      <w:tr w:rsidR="00A73BE1" w:rsidRPr="000051C1" w:rsidTr="00BA1C8C">
        <w:tblPrEx>
          <w:tblCellMar>
            <w:top w:w="113" w:type="dxa"/>
            <w:bottom w:w="113" w:type="dxa"/>
          </w:tblCellMar>
        </w:tblPrEx>
        <w:trPr>
          <w:cantSplit/>
        </w:trPr>
        <w:tc>
          <w:tcPr>
            <w:tcW w:w="1101" w:type="dxa"/>
          </w:tcPr>
          <w:p w:rsidR="00A73BE1" w:rsidRPr="00842A91" w:rsidRDefault="00A73BE1" w:rsidP="009B1159">
            <w:pPr>
              <w:rPr>
                <w:rFonts w:ascii="Calibri" w:hAnsi="Calibri"/>
                <w:color w:val="000000" w:themeColor="text1"/>
                <w:sz w:val="22"/>
              </w:rPr>
            </w:pPr>
            <w:r w:rsidRPr="00842A91">
              <w:rPr>
                <w:rFonts w:ascii="Calibri" w:hAnsi="Calibri"/>
                <w:b/>
                <w:color w:val="000000" w:themeColor="text1"/>
                <w:sz w:val="22"/>
              </w:rPr>
              <w:t>LTA Strategy 3</w:t>
            </w:r>
            <w:r w:rsidRPr="00842A91">
              <w:rPr>
                <w:rFonts w:ascii="Calibri" w:hAnsi="Calibri"/>
                <w:color w:val="000000" w:themeColor="text1"/>
                <w:sz w:val="22"/>
              </w:rPr>
              <w:t xml:space="preserve"> </w:t>
            </w:r>
            <w:r w:rsidRPr="00136D68">
              <w:rPr>
                <w:rFonts w:ascii="Calibri" w:hAnsi="Calibri"/>
                <w:color w:val="000000" w:themeColor="text1"/>
                <w:sz w:val="16"/>
                <w:szCs w:val="16"/>
              </w:rPr>
              <w:t>Embedding &amp; enhancing the student partnership</w:t>
            </w:r>
          </w:p>
        </w:tc>
        <w:tc>
          <w:tcPr>
            <w:tcW w:w="4819" w:type="dxa"/>
          </w:tcPr>
          <w:p w:rsidR="00A73BE1" w:rsidRDefault="00A73BE1" w:rsidP="009B1159">
            <w:pPr>
              <w:rPr>
                <w:rFonts w:ascii="Calibri" w:hAnsi="Calibri"/>
                <w:color w:val="000000" w:themeColor="text1"/>
                <w:sz w:val="22"/>
              </w:rPr>
            </w:pPr>
            <w:r>
              <w:rPr>
                <w:rFonts w:ascii="Calibri" w:hAnsi="Calibri"/>
                <w:color w:val="000000" w:themeColor="text1"/>
                <w:sz w:val="22"/>
              </w:rPr>
              <w:t xml:space="preserve">Develop online module to support Students going onto placements. </w:t>
            </w:r>
          </w:p>
          <w:p w:rsidR="00A73BE1" w:rsidRDefault="00A73BE1" w:rsidP="009B1159">
            <w:pPr>
              <w:pStyle w:val="ListParagraph"/>
              <w:numPr>
                <w:ilvl w:val="0"/>
                <w:numId w:val="25"/>
              </w:numPr>
              <w:rPr>
                <w:rFonts w:ascii="Calibri" w:hAnsi="Calibri"/>
                <w:color w:val="000000" w:themeColor="text1"/>
                <w:sz w:val="22"/>
              </w:rPr>
            </w:pPr>
            <w:r>
              <w:rPr>
                <w:rFonts w:ascii="Calibri" w:hAnsi="Calibri"/>
                <w:color w:val="000000" w:themeColor="text1"/>
                <w:sz w:val="22"/>
              </w:rPr>
              <w:t>Adapt existing work from FET.</w:t>
            </w:r>
          </w:p>
          <w:p w:rsidR="00A73BE1" w:rsidRPr="00A42AD9" w:rsidRDefault="00A73BE1" w:rsidP="009B1159">
            <w:pPr>
              <w:pStyle w:val="ListParagraph"/>
              <w:numPr>
                <w:ilvl w:val="0"/>
                <w:numId w:val="25"/>
              </w:numPr>
              <w:rPr>
                <w:rFonts w:ascii="Calibri" w:hAnsi="Calibri"/>
                <w:color w:val="000000" w:themeColor="text1"/>
                <w:sz w:val="22"/>
              </w:rPr>
            </w:pPr>
            <w:r>
              <w:rPr>
                <w:rFonts w:ascii="Calibri" w:hAnsi="Calibri"/>
                <w:color w:val="000000" w:themeColor="text1"/>
                <w:sz w:val="22"/>
              </w:rPr>
              <w:t>Include</w:t>
            </w:r>
            <w:r w:rsidRPr="00A42AD9">
              <w:rPr>
                <w:rFonts w:ascii="Calibri" w:hAnsi="Calibri"/>
                <w:color w:val="000000" w:themeColor="text1"/>
                <w:sz w:val="22"/>
              </w:rPr>
              <w:t xml:space="preserve"> client protection training</w:t>
            </w:r>
            <w:r>
              <w:rPr>
                <w:rFonts w:ascii="Calibri" w:hAnsi="Calibri"/>
                <w:color w:val="000000" w:themeColor="text1"/>
                <w:sz w:val="22"/>
              </w:rPr>
              <w:t>.</w:t>
            </w:r>
          </w:p>
          <w:p w:rsidR="00A73BE1" w:rsidRDefault="00A73BE1" w:rsidP="009B1159">
            <w:pPr>
              <w:pStyle w:val="ListParagraph"/>
              <w:numPr>
                <w:ilvl w:val="0"/>
                <w:numId w:val="19"/>
              </w:numPr>
              <w:rPr>
                <w:rFonts w:ascii="Calibri" w:hAnsi="Calibri"/>
                <w:color w:val="000000" w:themeColor="text1"/>
                <w:sz w:val="22"/>
              </w:rPr>
            </w:pPr>
            <w:r>
              <w:rPr>
                <w:rFonts w:ascii="Calibri" w:hAnsi="Calibri"/>
                <w:color w:val="000000" w:themeColor="text1"/>
                <w:sz w:val="22"/>
              </w:rPr>
              <w:t>Provide a means of auditing that pre-placement briefings have occurred.</w:t>
            </w:r>
          </w:p>
          <w:p w:rsidR="00A73BE1" w:rsidRPr="009E28D3" w:rsidRDefault="00A73BE1" w:rsidP="009B1159">
            <w:pPr>
              <w:pStyle w:val="ListParagraph"/>
              <w:numPr>
                <w:ilvl w:val="0"/>
                <w:numId w:val="19"/>
              </w:numPr>
              <w:rPr>
                <w:rFonts w:ascii="Calibri" w:hAnsi="Calibri"/>
                <w:color w:val="000000" w:themeColor="text1"/>
                <w:sz w:val="22"/>
              </w:rPr>
            </w:pPr>
            <w:r>
              <w:rPr>
                <w:rFonts w:ascii="Calibri" w:hAnsi="Calibri"/>
                <w:color w:val="000000" w:themeColor="text1"/>
                <w:sz w:val="22"/>
              </w:rPr>
              <w:t>Use as an additional means to advertise placement support unit (PLSU).</w:t>
            </w:r>
          </w:p>
        </w:tc>
        <w:tc>
          <w:tcPr>
            <w:tcW w:w="3119" w:type="dxa"/>
          </w:tcPr>
          <w:p w:rsidR="00A73BE1" w:rsidRDefault="00A73BE1" w:rsidP="009B1159">
            <w:pPr>
              <w:pStyle w:val="ListParagraph"/>
              <w:numPr>
                <w:ilvl w:val="0"/>
                <w:numId w:val="20"/>
              </w:numPr>
              <w:rPr>
                <w:rFonts w:ascii="Calibri" w:hAnsi="Calibri"/>
                <w:color w:val="000000" w:themeColor="text1"/>
                <w:sz w:val="22"/>
              </w:rPr>
            </w:pPr>
            <w:r>
              <w:rPr>
                <w:rFonts w:ascii="Calibri" w:hAnsi="Calibri"/>
                <w:color w:val="000000" w:themeColor="text1"/>
                <w:sz w:val="22"/>
              </w:rPr>
              <w:t>UKES scores for ‘Skill Development’ to match or surpass LJMU mean (currently 5% below).</w:t>
            </w:r>
          </w:p>
          <w:p w:rsidR="00A73BE1" w:rsidRPr="00A631F7" w:rsidRDefault="00A73BE1" w:rsidP="009B1159">
            <w:pPr>
              <w:rPr>
                <w:rFonts w:ascii="Calibri" w:hAnsi="Calibri"/>
                <w:color w:val="000000" w:themeColor="text1"/>
                <w:sz w:val="22"/>
              </w:rPr>
            </w:pPr>
          </w:p>
        </w:tc>
        <w:tc>
          <w:tcPr>
            <w:tcW w:w="2693" w:type="dxa"/>
          </w:tcPr>
          <w:p w:rsidR="00A73BE1" w:rsidRPr="000A4119" w:rsidRDefault="00A73BE1" w:rsidP="00B03628">
            <w:pPr>
              <w:ind w:left="34"/>
              <w:rPr>
                <w:rFonts w:ascii="Calibri" w:hAnsi="Calibri"/>
                <w:color w:val="000000" w:themeColor="text1"/>
                <w:sz w:val="22"/>
              </w:rPr>
            </w:pPr>
            <w:r>
              <w:rPr>
                <w:rFonts w:ascii="Calibri" w:hAnsi="Calibri"/>
                <w:color w:val="000000" w:themeColor="text1"/>
                <w:sz w:val="22"/>
              </w:rPr>
              <w:t xml:space="preserve">Led by Associate Dean (Education), Manager of Faculty Placement Support Unit. </w:t>
            </w:r>
          </w:p>
        </w:tc>
        <w:tc>
          <w:tcPr>
            <w:tcW w:w="2693" w:type="dxa"/>
          </w:tcPr>
          <w:p w:rsidR="00A73BE1" w:rsidRPr="00B6502C" w:rsidRDefault="00A73BE1" w:rsidP="0040539D">
            <w:pPr>
              <w:pStyle w:val="ListParagraph"/>
              <w:numPr>
                <w:ilvl w:val="0"/>
                <w:numId w:val="20"/>
              </w:numPr>
              <w:rPr>
                <w:rFonts w:ascii="Calibri" w:hAnsi="Calibri"/>
                <w:color w:val="000000" w:themeColor="text1"/>
                <w:sz w:val="22"/>
              </w:rPr>
            </w:pPr>
            <w:r>
              <w:rPr>
                <w:rFonts w:ascii="Calibri" w:hAnsi="Calibri"/>
                <w:color w:val="000000" w:themeColor="text1"/>
                <w:sz w:val="22"/>
              </w:rPr>
              <w:t>Application to UCEPI</w:t>
            </w:r>
          </w:p>
        </w:tc>
      </w:tr>
      <w:tr w:rsidR="00A73BE1" w:rsidRPr="000051C1" w:rsidTr="00BA1C8C">
        <w:tblPrEx>
          <w:tblCellMar>
            <w:top w:w="113" w:type="dxa"/>
            <w:bottom w:w="113" w:type="dxa"/>
          </w:tblCellMar>
        </w:tblPrEx>
        <w:trPr>
          <w:cantSplit/>
        </w:trPr>
        <w:tc>
          <w:tcPr>
            <w:tcW w:w="1101" w:type="dxa"/>
          </w:tcPr>
          <w:p w:rsidR="00A73BE1" w:rsidRPr="00842A91" w:rsidRDefault="00A73BE1" w:rsidP="00A93C77">
            <w:pPr>
              <w:rPr>
                <w:rFonts w:ascii="Calibri" w:hAnsi="Calibri"/>
                <w:color w:val="000000" w:themeColor="text1"/>
                <w:sz w:val="22"/>
              </w:rPr>
            </w:pPr>
            <w:r w:rsidRPr="00842A91">
              <w:rPr>
                <w:rFonts w:ascii="Calibri" w:hAnsi="Calibri"/>
                <w:b/>
                <w:color w:val="000000" w:themeColor="text1"/>
                <w:sz w:val="22"/>
              </w:rPr>
              <w:lastRenderedPageBreak/>
              <w:t>LTA Strategy 3</w:t>
            </w:r>
            <w:r w:rsidRPr="00842A91">
              <w:rPr>
                <w:rFonts w:ascii="Calibri" w:hAnsi="Calibri"/>
                <w:color w:val="000000" w:themeColor="text1"/>
                <w:sz w:val="22"/>
              </w:rPr>
              <w:t xml:space="preserve"> </w:t>
            </w:r>
            <w:r w:rsidRPr="00136D68">
              <w:rPr>
                <w:rFonts w:ascii="Calibri" w:hAnsi="Calibri"/>
                <w:color w:val="000000" w:themeColor="text1"/>
                <w:sz w:val="16"/>
                <w:szCs w:val="16"/>
              </w:rPr>
              <w:t>Embedding &amp; enhancing the student partnership</w:t>
            </w:r>
          </w:p>
        </w:tc>
        <w:tc>
          <w:tcPr>
            <w:tcW w:w="4819" w:type="dxa"/>
          </w:tcPr>
          <w:p w:rsidR="00A73BE1" w:rsidRDefault="00A73BE1" w:rsidP="00A93C77">
            <w:pPr>
              <w:rPr>
                <w:rFonts w:ascii="Calibri" w:hAnsi="Calibri"/>
                <w:color w:val="000000" w:themeColor="text1"/>
                <w:sz w:val="22"/>
              </w:rPr>
            </w:pPr>
            <w:r>
              <w:rPr>
                <w:rFonts w:ascii="Calibri" w:hAnsi="Calibri"/>
                <w:color w:val="000000" w:themeColor="text1"/>
                <w:sz w:val="22"/>
              </w:rPr>
              <w:t>Establish a mechanism to share Holt Education Trust bursaries within the Faculty among UG and PGT students.</w:t>
            </w:r>
          </w:p>
          <w:p w:rsidR="00A73BE1" w:rsidRPr="00455A34" w:rsidRDefault="00A73BE1" w:rsidP="00A93C77">
            <w:pPr>
              <w:pStyle w:val="ListParagraph"/>
              <w:numPr>
                <w:ilvl w:val="0"/>
                <w:numId w:val="20"/>
              </w:numPr>
              <w:rPr>
                <w:rFonts w:ascii="Calibri" w:hAnsi="Calibri"/>
                <w:color w:val="000000" w:themeColor="text1"/>
                <w:sz w:val="22"/>
              </w:rPr>
            </w:pPr>
            <w:r>
              <w:rPr>
                <w:rFonts w:ascii="Calibri" w:hAnsi="Calibri"/>
                <w:color w:val="000000" w:themeColor="text1"/>
                <w:sz w:val="22"/>
              </w:rPr>
              <w:t>Funding can</w:t>
            </w:r>
            <w:r w:rsidRPr="00455A34">
              <w:rPr>
                <w:rFonts w:ascii="Calibri" w:hAnsi="Calibri"/>
                <w:color w:val="000000" w:themeColor="text1"/>
                <w:sz w:val="22"/>
              </w:rPr>
              <w:t xml:space="preserve"> </w:t>
            </w:r>
            <w:r>
              <w:rPr>
                <w:rFonts w:ascii="Calibri" w:hAnsi="Calibri"/>
                <w:color w:val="000000" w:themeColor="text1"/>
                <w:sz w:val="22"/>
              </w:rPr>
              <w:t>be used to support students’ studies.</w:t>
            </w:r>
          </w:p>
          <w:p w:rsidR="00A73BE1" w:rsidRPr="009E28D3" w:rsidRDefault="00A73BE1" w:rsidP="00A93C77">
            <w:pPr>
              <w:pStyle w:val="ListParagraph"/>
              <w:numPr>
                <w:ilvl w:val="0"/>
                <w:numId w:val="25"/>
              </w:numPr>
              <w:rPr>
                <w:rFonts w:ascii="Calibri" w:hAnsi="Calibri"/>
                <w:color w:val="000000" w:themeColor="text1"/>
                <w:sz w:val="22"/>
              </w:rPr>
            </w:pPr>
            <w:r>
              <w:rPr>
                <w:rFonts w:ascii="Calibri" w:hAnsi="Calibri"/>
                <w:color w:val="000000" w:themeColor="text1"/>
                <w:sz w:val="22"/>
              </w:rPr>
              <w:t xml:space="preserve">Example activities include </w:t>
            </w:r>
            <w:r w:rsidRPr="00455A34">
              <w:rPr>
                <w:rFonts w:ascii="Calibri" w:hAnsi="Calibri"/>
                <w:color w:val="000000" w:themeColor="text1"/>
                <w:sz w:val="22"/>
              </w:rPr>
              <w:t>travel; sandwich placements; fieldwork; conference attendance; specialist overseas experience.</w:t>
            </w:r>
          </w:p>
        </w:tc>
        <w:tc>
          <w:tcPr>
            <w:tcW w:w="3119" w:type="dxa"/>
          </w:tcPr>
          <w:p w:rsidR="00A73BE1" w:rsidRPr="00455A34" w:rsidRDefault="00A73BE1" w:rsidP="00A93C77">
            <w:pPr>
              <w:pStyle w:val="ListParagraph"/>
              <w:numPr>
                <w:ilvl w:val="0"/>
                <w:numId w:val="25"/>
              </w:numPr>
              <w:rPr>
                <w:rFonts w:ascii="Calibri" w:hAnsi="Calibri"/>
                <w:color w:val="000000" w:themeColor="text1"/>
                <w:sz w:val="22"/>
              </w:rPr>
            </w:pPr>
            <w:r>
              <w:rPr>
                <w:rFonts w:ascii="Calibri" w:hAnsi="Calibri"/>
                <w:color w:val="000000" w:themeColor="text1"/>
                <w:sz w:val="22"/>
              </w:rPr>
              <w:t>Allocate three</w:t>
            </w:r>
            <w:r w:rsidRPr="00455A34">
              <w:rPr>
                <w:rFonts w:ascii="Calibri" w:hAnsi="Calibri"/>
                <w:color w:val="000000" w:themeColor="text1"/>
                <w:sz w:val="22"/>
              </w:rPr>
              <w:t xml:space="preserve"> single award</w:t>
            </w:r>
            <w:r>
              <w:rPr>
                <w:rFonts w:ascii="Calibri" w:hAnsi="Calibri"/>
                <w:color w:val="000000" w:themeColor="text1"/>
                <w:sz w:val="22"/>
              </w:rPr>
              <w:t>s of £2</w:t>
            </w:r>
            <w:r w:rsidRPr="00455A34">
              <w:rPr>
                <w:rFonts w:ascii="Calibri" w:hAnsi="Calibri"/>
                <w:color w:val="000000" w:themeColor="text1"/>
                <w:sz w:val="22"/>
              </w:rPr>
              <w:t xml:space="preserve">000 to </w:t>
            </w:r>
            <w:r>
              <w:rPr>
                <w:rFonts w:ascii="Calibri" w:hAnsi="Calibri"/>
                <w:color w:val="000000" w:themeColor="text1"/>
                <w:sz w:val="22"/>
              </w:rPr>
              <w:t xml:space="preserve">PGT </w:t>
            </w:r>
            <w:r w:rsidRPr="00455A34">
              <w:rPr>
                <w:rFonts w:ascii="Calibri" w:hAnsi="Calibri"/>
                <w:color w:val="000000" w:themeColor="text1"/>
                <w:sz w:val="22"/>
              </w:rPr>
              <w:t>students</w:t>
            </w:r>
            <w:r>
              <w:rPr>
                <w:rFonts w:ascii="Calibri" w:hAnsi="Calibri"/>
                <w:color w:val="000000" w:themeColor="text1"/>
                <w:sz w:val="22"/>
              </w:rPr>
              <w:t>.</w:t>
            </w:r>
          </w:p>
          <w:p w:rsidR="00A73BE1" w:rsidRPr="00A631F7" w:rsidRDefault="00A73BE1" w:rsidP="00A93C77">
            <w:pPr>
              <w:pStyle w:val="ListParagraph"/>
              <w:numPr>
                <w:ilvl w:val="0"/>
                <w:numId w:val="20"/>
              </w:numPr>
              <w:rPr>
                <w:rFonts w:ascii="Calibri" w:hAnsi="Calibri"/>
                <w:color w:val="000000" w:themeColor="text1"/>
                <w:sz w:val="22"/>
              </w:rPr>
            </w:pPr>
            <w:r>
              <w:rPr>
                <w:rFonts w:ascii="Calibri" w:hAnsi="Calibri"/>
                <w:color w:val="000000" w:themeColor="text1"/>
                <w:sz w:val="22"/>
              </w:rPr>
              <w:t>£4</w:t>
            </w:r>
            <w:r w:rsidRPr="00455A34">
              <w:rPr>
                <w:rFonts w:ascii="Calibri" w:hAnsi="Calibri"/>
                <w:color w:val="000000" w:themeColor="text1"/>
                <w:sz w:val="22"/>
              </w:rPr>
              <w:t xml:space="preserve">000 to be distributed to </w:t>
            </w:r>
            <w:r>
              <w:rPr>
                <w:rFonts w:ascii="Calibri" w:hAnsi="Calibri"/>
                <w:color w:val="000000" w:themeColor="text1"/>
                <w:sz w:val="22"/>
              </w:rPr>
              <w:t>identified UG</w:t>
            </w:r>
            <w:r w:rsidRPr="00455A34">
              <w:rPr>
                <w:rFonts w:ascii="Calibri" w:hAnsi="Calibri"/>
                <w:color w:val="000000" w:themeColor="text1"/>
                <w:sz w:val="22"/>
              </w:rPr>
              <w:t xml:space="preserve"> students</w:t>
            </w:r>
            <w:r>
              <w:rPr>
                <w:rFonts w:ascii="Calibri" w:hAnsi="Calibri"/>
                <w:color w:val="000000" w:themeColor="text1"/>
                <w:sz w:val="22"/>
              </w:rPr>
              <w:t>.</w:t>
            </w:r>
          </w:p>
        </w:tc>
        <w:tc>
          <w:tcPr>
            <w:tcW w:w="2693" w:type="dxa"/>
          </w:tcPr>
          <w:p w:rsidR="00A73BE1" w:rsidRPr="000A4119" w:rsidRDefault="00A73BE1" w:rsidP="00A93C77">
            <w:pPr>
              <w:ind w:left="34"/>
              <w:rPr>
                <w:rFonts w:ascii="Calibri" w:hAnsi="Calibri"/>
                <w:color w:val="000000" w:themeColor="text1"/>
                <w:sz w:val="22"/>
              </w:rPr>
            </w:pPr>
            <w:r>
              <w:rPr>
                <w:rFonts w:ascii="Calibri" w:hAnsi="Calibri"/>
                <w:color w:val="000000" w:themeColor="text1"/>
                <w:sz w:val="22"/>
              </w:rPr>
              <w:t>Led by Head of Faculty Operations during 2015/16.</w:t>
            </w:r>
          </w:p>
        </w:tc>
        <w:tc>
          <w:tcPr>
            <w:tcW w:w="2693" w:type="dxa"/>
          </w:tcPr>
          <w:p w:rsidR="00A73BE1" w:rsidRPr="00B6502C" w:rsidRDefault="00A73BE1" w:rsidP="00A93C77">
            <w:pPr>
              <w:pStyle w:val="ListParagraph"/>
              <w:numPr>
                <w:ilvl w:val="0"/>
                <w:numId w:val="20"/>
              </w:numPr>
              <w:rPr>
                <w:rFonts w:ascii="Calibri" w:hAnsi="Calibri"/>
                <w:color w:val="000000" w:themeColor="text1"/>
                <w:sz w:val="22"/>
              </w:rPr>
            </w:pPr>
            <w:r>
              <w:rPr>
                <w:rFonts w:ascii="Calibri" w:hAnsi="Calibri"/>
                <w:color w:val="000000" w:themeColor="text1"/>
                <w:sz w:val="22"/>
              </w:rPr>
              <w:t>£10000 from HET</w:t>
            </w:r>
          </w:p>
        </w:tc>
      </w:tr>
      <w:tr w:rsidR="00A73BE1" w:rsidRPr="000051C1" w:rsidTr="00771BCF">
        <w:tblPrEx>
          <w:tblCellMar>
            <w:top w:w="113" w:type="dxa"/>
            <w:bottom w:w="113" w:type="dxa"/>
          </w:tblCellMar>
        </w:tblPrEx>
        <w:trPr>
          <w:cantSplit/>
        </w:trPr>
        <w:tc>
          <w:tcPr>
            <w:tcW w:w="1101" w:type="dxa"/>
          </w:tcPr>
          <w:p w:rsidR="00A73BE1" w:rsidRPr="00842A91" w:rsidRDefault="00A73BE1" w:rsidP="00771BCF">
            <w:pPr>
              <w:rPr>
                <w:rFonts w:ascii="Calibri" w:hAnsi="Calibri"/>
                <w:color w:val="000000" w:themeColor="text1"/>
                <w:sz w:val="22"/>
              </w:rPr>
            </w:pPr>
            <w:r w:rsidRPr="00842A91">
              <w:rPr>
                <w:rFonts w:ascii="Calibri" w:hAnsi="Calibri"/>
                <w:b/>
                <w:color w:val="000000" w:themeColor="text1"/>
                <w:sz w:val="22"/>
              </w:rPr>
              <w:t>LTA Strategy 3</w:t>
            </w:r>
            <w:r w:rsidRPr="00842A91">
              <w:rPr>
                <w:rFonts w:ascii="Calibri" w:hAnsi="Calibri"/>
                <w:color w:val="000000" w:themeColor="text1"/>
                <w:sz w:val="22"/>
              </w:rPr>
              <w:t xml:space="preserve"> </w:t>
            </w:r>
            <w:r w:rsidRPr="00136D68">
              <w:rPr>
                <w:rFonts w:ascii="Calibri" w:hAnsi="Calibri"/>
                <w:color w:val="000000" w:themeColor="text1"/>
                <w:sz w:val="16"/>
                <w:szCs w:val="16"/>
              </w:rPr>
              <w:t>Embedding &amp; enhancing the student partnership</w:t>
            </w:r>
          </w:p>
        </w:tc>
        <w:tc>
          <w:tcPr>
            <w:tcW w:w="4819" w:type="dxa"/>
          </w:tcPr>
          <w:p w:rsidR="00A73BE1" w:rsidRDefault="00A73BE1" w:rsidP="00771BCF">
            <w:pPr>
              <w:rPr>
                <w:rFonts w:ascii="Calibri" w:hAnsi="Calibri"/>
                <w:color w:val="000000" w:themeColor="text1"/>
                <w:sz w:val="22"/>
              </w:rPr>
            </w:pPr>
            <w:r>
              <w:rPr>
                <w:rFonts w:ascii="Calibri" w:hAnsi="Calibri"/>
                <w:color w:val="000000" w:themeColor="text1"/>
                <w:sz w:val="22"/>
              </w:rPr>
              <w:t>Improve PTES response rate:</w:t>
            </w:r>
          </w:p>
          <w:p w:rsidR="00A73BE1" w:rsidRPr="00455A34" w:rsidRDefault="00A73BE1" w:rsidP="00771BCF">
            <w:pPr>
              <w:pStyle w:val="ListParagraph"/>
              <w:numPr>
                <w:ilvl w:val="0"/>
                <w:numId w:val="20"/>
              </w:numPr>
              <w:rPr>
                <w:rFonts w:ascii="Calibri" w:hAnsi="Calibri"/>
                <w:color w:val="000000" w:themeColor="text1"/>
                <w:sz w:val="22"/>
              </w:rPr>
            </w:pPr>
            <w:r>
              <w:rPr>
                <w:rFonts w:ascii="Calibri" w:hAnsi="Calibri"/>
                <w:color w:val="000000" w:themeColor="text1"/>
                <w:sz w:val="22"/>
              </w:rPr>
              <w:t>SCS PTES response rate 2015 was 34%, above Sector/LJMU average.</w:t>
            </w:r>
          </w:p>
          <w:p w:rsidR="00A73BE1" w:rsidRDefault="00A73BE1" w:rsidP="00771BCF">
            <w:pPr>
              <w:pStyle w:val="ListParagraph"/>
              <w:numPr>
                <w:ilvl w:val="0"/>
                <w:numId w:val="25"/>
              </w:numPr>
              <w:rPr>
                <w:rFonts w:ascii="Calibri" w:hAnsi="Calibri"/>
                <w:color w:val="000000" w:themeColor="text1"/>
                <w:sz w:val="22"/>
              </w:rPr>
            </w:pPr>
            <w:r>
              <w:rPr>
                <w:rFonts w:ascii="Calibri" w:hAnsi="Calibri"/>
                <w:color w:val="000000" w:themeColor="text1"/>
                <w:sz w:val="22"/>
              </w:rPr>
              <w:t>Higher responses rates would provide more robust data and address the issue</w:t>
            </w:r>
            <w:r w:rsidRPr="00455A34">
              <w:rPr>
                <w:rFonts w:ascii="Calibri" w:hAnsi="Calibri"/>
                <w:color w:val="000000" w:themeColor="text1"/>
                <w:sz w:val="22"/>
              </w:rPr>
              <w:t>.</w:t>
            </w:r>
          </w:p>
          <w:p w:rsidR="00A73BE1" w:rsidRPr="009E28D3" w:rsidRDefault="00A73BE1" w:rsidP="00771BCF">
            <w:pPr>
              <w:pStyle w:val="ListParagraph"/>
              <w:numPr>
                <w:ilvl w:val="0"/>
                <w:numId w:val="25"/>
              </w:numPr>
              <w:rPr>
                <w:rFonts w:ascii="Calibri" w:hAnsi="Calibri"/>
                <w:color w:val="000000" w:themeColor="text1"/>
                <w:sz w:val="22"/>
              </w:rPr>
            </w:pPr>
            <w:r>
              <w:rPr>
                <w:rFonts w:ascii="Calibri" w:hAnsi="Calibri"/>
                <w:color w:val="000000" w:themeColor="text1"/>
                <w:sz w:val="22"/>
              </w:rPr>
              <w:t>Investigate possibility of offering a prize draw for PTES survey completion.</w:t>
            </w:r>
          </w:p>
        </w:tc>
        <w:tc>
          <w:tcPr>
            <w:tcW w:w="3119" w:type="dxa"/>
          </w:tcPr>
          <w:p w:rsidR="00A73BE1" w:rsidRPr="00A631F7" w:rsidRDefault="00A73BE1" w:rsidP="00771BCF">
            <w:pPr>
              <w:pStyle w:val="ListParagraph"/>
              <w:numPr>
                <w:ilvl w:val="0"/>
                <w:numId w:val="20"/>
              </w:numPr>
              <w:rPr>
                <w:rFonts w:ascii="Calibri" w:hAnsi="Calibri"/>
                <w:color w:val="000000" w:themeColor="text1"/>
                <w:sz w:val="22"/>
              </w:rPr>
            </w:pPr>
            <w:r>
              <w:rPr>
                <w:rFonts w:ascii="Calibri" w:hAnsi="Calibri"/>
                <w:color w:val="000000" w:themeColor="text1"/>
                <w:sz w:val="22"/>
              </w:rPr>
              <w:t>PTES response rate to reach 50% on all programmes that can potentially meet the threshold publication criterion.</w:t>
            </w:r>
          </w:p>
        </w:tc>
        <w:tc>
          <w:tcPr>
            <w:tcW w:w="2693" w:type="dxa"/>
          </w:tcPr>
          <w:p w:rsidR="00A73BE1" w:rsidRPr="000A4119" w:rsidRDefault="00A73BE1" w:rsidP="00771BCF">
            <w:pPr>
              <w:ind w:left="34"/>
              <w:rPr>
                <w:rFonts w:ascii="Calibri" w:hAnsi="Calibri"/>
                <w:color w:val="000000" w:themeColor="text1"/>
                <w:sz w:val="22"/>
              </w:rPr>
            </w:pPr>
            <w:r>
              <w:rPr>
                <w:rFonts w:ascii="Calibri" w:hAnsi="Calibri"/>
                <w:color w:val="000000" w:themeColor="text1"/>
                <w:sz w:val="22"/>
              </w:rPr>
              <w:t>Led by Associate Dean (Education) and Associate Dean (Quality) during 2015/16.</w:t>
            </w:r>
          </w:p>
        </w:tc>
        <w:tc>
          <w:tcPr>
            <w:tcW w:w="2693" w:type="dxa"/>
          </w:tcPr>
          <w:p w:rsidR="00A73BE1" w:rsidRDefault="00A73BE1" w:rsidP="00771BCF">
            <w:pPr>
              <w:pStyle w:val="ListParagraph"/>
              <w:numPr>
                <w:ilvl w:val="0"/>
                <w:numId w:val="20"/>
              </w:numPr>
              <w:rPr>
                <w:rFonts w:ascii="Calibri" w:hAnsi="Calibri"/>
                <w:color w:val="000000" w:themeColor="text1"/>
                <w:sz w:val="22"/>
              </w:rPr>
            </w:pPr>
            <w:r>
              <w:rPr>
                <w:rFonts w:ascii="Calibri" w:hAnsi="Calibri"/>
                <w:color w:val="000000" w:themeColor="text1"/>
                <w:sz w:val="22"/>
              </w:rPr>
              <w:t>Continued assistance of Teaching and Learning Academy.</w:t>
            </w:r>
          </w:p>
          <w:p w:rsidR="00A73BE1" w:rsidRPr="00B6502C" w:rsidRDefault="00A73BE1" w:rsidP="0048434D">
            <w:pPr>
              <w:pStyle w:val="ListParagraph"/>
              <w:numPr>
                <w:ilvl w:val="0"/>
                <w:numId w:val="20"/>
              </w:numPr>
              <w:rPr>
                <w:rFonts w:ascii="Calibri" w:hAnsi="Calibri"/>
                <w:color w:val="000000" w:themeColor="text1"/>
                <w:sz w:val="22"/>
              </w:rPr>
            </w:pPr>
            <w:r>
              <w:rPr>
                <w:rFonts w:ascii="Calibri" w:hAnsi="Calibri"/>
                <w:color w:val="000000" w:themeColor="text1"/>
                <w:sz w:val="22"/>
              </w:rPr>
              <w:t>£100 from FCEP.</w:t>
            </w:r>
          </w:p>
        </w:tc>
      </w:tr>
      <w:tr w:rsidR="00A73BE1" w:rsidRPr="000051C1" w:rsidTr="00BA1C8C">
        <w:tblPrEx>
          <w:tblCellMar>
            <w:top w:w="113" w:type="dxa"/>
            <w:bottom w:w="113" w:type="dxa"/>
          </w:tblCellMar>
        </w:tblPrEx>
        <w:trPr>
          <w:cantSplit/>
        </w:trPr>
        <w:tc>
          <w:tcPr>
            <w:tcW w:w="1101" w:type="dxa"/>
          </w:tcPr>
          <w:p w:rsidR="00A73BE1" w:rsidRPr="00842A91" w:rsidRDefault="00A73BE1" w:rsidP="009B1159">
            <w:pPr>
              <w:rPr>
                <w:rFonts w:ascii="Calibri" w:hAnsi="Calibri"/>
                <w:color w:val="000000" w:themeColor="text1"/>
                <w:sz w:val="22"/>
              </w:rPr>
            </w:pPr>
            <w:r w:rsidRPr="00842A91">
              <w:rPr>
                <w:rFonts w:ascii="Calibri" w:hAnsi="Calibri"/>
                <w:b/>
                <w:color w:val="000000" w:themeColor="text1"/>
                <w:sz w:val="22"/>
              </w:rPr>
              <w:t>LTA Strategy 3</w:t>
            </w:r>
            <w:r w:rsidRPr="00842A91">
              <w:rPr>
                <w:rFonts w:ascii="Calibri" w:hAnsi="Calibri"/>
                <w:color w:val="000000" w:themeColor="text1"/>
                <w:sz w:val="22"/>
              </w:rPr>
              <w:t xml:space="preserve"> </w:t>
            </w:r>
            <w:r w:rsidRPr="00136D68">
              <w:rPr>
                <w:rFonts w:ascii="Calibri" w:hAnsi="Calibri"/>
                <w:color w:val="000000" w:themeColor="text1"/>
                <w:sz w:val="16"/>
                <w:szCs w:val="16"/>
              </w:rPr>
              <w:t>Embedding &amp; enhancing the student partnership</w:t>
            </w:r>
          </w:p>
        </w:tc>
        <w:tc>
          <w:tcPr>
            <w:tcW w:w="4819" w:type="dxa"/>
          </w:tcPr>
          <w:p w:rsidR="00A73BE1" w:rsidRDefault="00A73BE1" w:rsidP="00A42AD9">
            <w:pPr>
              <w:rPr>
                <w:rFonts w:ascii="Calibri" w:hAnsi="Calibri"/>
                <w:color w:val="000000" w:themeColor="text1"/>
                <w:sz w:val="22"/>
              </w:rPr>
            </w:pPr>
            <w:r>
              <w:rPr>
                <w:rFonts w:ascii="Calibri" w:hAnsi="Calibri"/>
                <w:color w:val="000000" w:themeColor="text1"/>
                <w:sz w:val="22"/>
              </w:rPr>
              <w:t>Respond to LiverpoolSU Academic Priority findings</w:t>
            </w:r>
          </w:p>
          <w:p w:rsidR="00A73BE1" w:rsidRPr="00455A34" w:rsidRDefault="00A73BE1" w:rsidP="00455A34">
            <w:pPr>
              <w:pStyle w:val="ListParagraph"/>
              <w:numPr>
                <w:ilvl w:val="0"/>
                <w:numId w:val="20"/>
              </w:numPr>
              <w:rPr>
                <w:rFonts w:ascii="Calibri" w:hAnsi="Calibri"/>
                <w:color w:val="000000" w:themeColor="text1"/>
                <w:sz w:val="22"/>
              </w:rPr>
            </w:pPr>
            <w:r>
              <w:rPr>
                <w:rFonts w:ascii="Calibri" w:hAnsi="Calibri"/>
                <w:color w:val="000000" w:themeColor="text1"/>
                <w:sz w:val="22"/>
              </w:rPr>
              <w:t>Host workshop-type event with Course reps on 3</w:t>
            </w:r>
            <w:r w:rsidRPr="001E1439">
              <w:rPr>
                <w:rFonts w:ascii="Calibri" w:hAnsi="Calibri"/>
                <w:color w:val="000000" w:themeColor="text1"/>
                <w:sz w:val="22"/>
                <w:vertAlign w:val="superscript"/>
              </w:rPr>
              <w:t>rd</w:t>
            </w:r>
            <w:r>
              <w:rPr>
                <w:rFonts w:ascii="Calibri" w:hAnsi="Calibri"/>
                <w:color w:val="000000" w:themeColor="text1"/>
                <w:sz w:val="22"/>
              </w:rPr>
              <w:t xml:space="preserve"> December 2015</w:t>
            </w:r>
          </w:p>
          <w:p w:rsidR="00A73BE1" w:rsidRPr="009E28D3" w:rsidRDefault="00A73BE1" w:rsidP="0048434D">
            <w:pPr>
              <w:pStyle w:val="ListParagraph"/>
              <w:ind w:left="360"/>
              <w:rPr>
                <w:rFonts w:ascii="Calibri" w:hAnsi="Calibri"/>
                <w:color w:val="000000" w:themeColor="text1"/>
                <w:sz w:val="22"/>
              </w:rPr>
            </w:pPr>
          </w:p>
        </w:tc>
        <w:tc>
          <w:tcPr>
            <w:tcW w:w="3119" w:type="dxa"/>
          </w:tcPr>
          <w:p w:rsidR="00A73BE1" w:rsidRPr="00A631F7" w:rsidRDefault="00A73BE1" w:rsidP="0048434D">
            <w:pPr>
              <w:pStyle w:val="ListParagraph"/>
              <w:numPr>
                <w:ilvl w:val="0"/>
                <w:numId w:val="20"/>
              </w:numPr>
              <w:rPr>
                <w:rFonts w:ascii="Calibri" w:hAnsi="Calibri"/>
                <w:color w:val="000000" w:themeColor="text1"/>
                <w:sz w:val="22"/>
              </w:rPr>
            </w:pPr>
            <w:r>
              <w:rPr>
                <w:rFonts w:ascii="Calibri" w:hAnsi="Calibri"/>
                <w:color w:val="000000" w:themeColor="text1"/>
                <w:sz w:val="22"/>
              </w:rPr>
              <w:t>Offer means to further ascertain student sentiments around the two identified Faculty priorities.</w:t>
            </w:r>
          </w:p>
        </w:tc>
        <w:tc>
          <w:tcPr>
            <w:tcW w:w="2693" w:type="dxa"/>
          </w:tcPr>
          <w:p w:rsidR="00A73BE1" w:rsidRPr="000A4119" w:rsidRDefault="00A73BE1" w:rsidP="0060249C">
            <w:pPr>
              <w:ind w:left="34"/>
              <w:rPr>
                <w:rFonts w:ascii="Calibri" w:hAnsi="Calibri"/>
                <w:color w:val="000000" w:themeColor="text1"/>
                <w:sz w:val="22"/>
              </w:rPr>
            </w:pPr>
            <w:r>
              <w:rPr>
                <w:rFonts w:ascii="Calibri" w:hAnsi="Calibri"/>
                <w:color w:val="000000" w:themeColor="text1"/>
                <w:sz w:val="22"/>
              </w:rPr>
              <w:t>Led by Associate Dean (Education), Manager (Placement Learning Support Unit) and LiverpoolSU.</w:t>
            </w:r>
          </w:p>
        </w:tc>
        <w:tc>
          <w:tcPr>
            <w:tcW w:w="2693" w:type="dxa"/>
          </w:tcPr>
          <w:p w:rsidR="00A73BE1" w:rsidRDefault="00A73BE1" w:rsidP="001E1439">
            <w:pPr>
              <w:pStyle w:val="ListParagraph"/>
              <w:numPr>
                <w:ilvl w:val="0"/>
                <w:numId w:val="20"/>
              </w:numPr>
              <w:rPr>
                <w:rFonts w:ascii="Calibri" w:hAnsi="Calibri"/>
                <w:color w:val="000000" w:themeColor="text1"/>
                <w:sz w:val="22"/>
              </w:rPr>
            </w:pPr>
            <w:r>
              <w:rPr>
                <w:rFonts w:ascii="Calibri" w:hAnsi="Calibri"/>
                <w:color w:val="000000" w:themeColor="text1"/>
                <w:sz w:val="22"/>
              </w:rPr>
              <w:t>£50 from FCEP for catering</w:t>
            </w:r>
          </w:p>
          <w:p w:rsidR="00A73BE1" w:rsidRPr="00B6502C" w:rsidRDefault="00A73BE1" w:rsidP="0048434D">
            <w:pPr>
              <w:pStyle w:val="ListParagraph"/>
              <w:ind w:left="360"/>
              <w:rPr>
                <w:rFonts w:ascii="Calibri" w:hAnsi="Calibri"/>
                <w:color w:val="000000" w:themeColor="text1"/>
                <w:sz w:val="22"/>
              </w:rPr>
            </w:pPr>
          </w:p>
        </w:tc>
      </w:tr>
    </w:tbl>
    <w:tbl>
      <w:tblPr>
        <w:tblW w:w="14425" w:type="dxa"/>
        <w:tblLayout w:type="fixed"/>
        <w:tblCellMar>
          <w:left w:w="0" w:type="dxa"/>
          <w:right w:w="0" w:type="dxa"/>
        </w:tblCellMar>
        <w:tblLook w:val="04A0" w:firstRow="1" w:lastRow="0" w:firstColumn="1" w:lastColumn="0" w:noHBand="0" w:noVBand="1"/>
      </w:tblPr>
      <w:tblGrid>
        <w:gridCol w:w="1100"/>
        <w:gridCol w:w="4820"/>
        <w:gridCol w:w="3119"/>
        <w:gridCol w:w="2693"/>
        <w:gridCol w:w="2693"/>
      </w:tblGrid>
      <w:tr w:rsidR="003D01C6" w:rsidRPr="0044619A" w:rsidTr="003D01C6">
        <w:trPr>
          <w:cantSplit/>
        </w:trPr>
        <w:tc>
          <w:tcPr>
            <w:tcW w:w="110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D01C6" w:rsidRPr="0044619A" w:rsidRDefault="003D01C6" w:rsidP="00D238E8">
            <w:pPr>
              <w:spacing w:before="60" w:after="60" w:line="240" w:lineRule="auto"/>
              <w:rPr>
                <w:rFonts w:asciiTheme="minorHAnsi" w:hAnsiTheme="minorHAnsi"/>
                <w:b/>
                <w:bCs/>
                <w:sz w:val="22"/>
              </w:rPr>
            </w:pPr>
            <w:r w:rsidRPr="0044619A">
              <w:rPr>
                <w:rFonts w:asciiTheme="minorHAnsi" w:hAnsiTheme="minorHAnsi"/>
                <w:b/>
                <w:bCs/>
                <w:sz w:val="22"/>
              </w:rPr>
              <w:t xml:space="preserve">LTA Strategy  2 </w:t>
            </w:r>
          </w:p>
        </w:tc>
        <w:tc>
          <w:tcPr>
            <w:tcW w:w="4820" w:type="dxa"/>
            <w:tcBorders>
              <w:top w:val="nil"/>
              <w:left w:val="nil"/>
              <w:bottom w:val="single" w:sz="4" w:space="0" w:color="auto"/>
              <w:right w:val="single" w:sz="8" w:space="0" w:color="auto"/>
            </w:tcBorders>
            <w:tcMar>
              <w:top w:w="0" w:type="dxa"/>
              <w:left w:w="108" w:type="dxa"/>
              <w:bottom w:w="0" w:type="dxa"/>
              <w:right w:w="108" w:type="dxa"/>
            </w:tcMar>
            <w:hideMark/>
          </w:tcPr>
          <w:p w:rsidR="003D01C6" w:rsidRPr="0044619A" w:rsidRDefault="003D01C6" w:rsidP="00D238E8">
            <w:pPr>
              <w:spacing w:before="60" w:after="60" w:line="240" w:lineRule="auto"/>
              <w:ind w:left="-42"/>
              <w:rPr>
                <w:rFonts w:asciiTheme="minorHAnsi" w:hAnsiTheme="minorHAnsi"/>
                <w:sz w:val="22"/>
              </w:rPr>
            </w:pPr>
            <w:r w:rsidRPr="0044619A">
              <w:rPr>
                <w:rFonts w:asciiTheme="minorHAnsi" w:hAnsiTheme="minorHAnsi"/>
                <w:sz w:val="22"/>
              </w:rPr>
              <w:t>Encourage SCS staff attendance at the LJMU L&amp;T Conference by offering a catered lunchtime social event where colleagues can register for sessions.</w:t>
            </w:r>
          </w:p>
        </w:tc>
        <w:tc>
          <w:tcPr>
            <w:tcW w:w="3119" w:type="dxa"/>
            <w:tcBorders>
              <w:top w:val="nil"/>
              <w:left w:val="nil"/>
              <w:bottom w:val="single" w:sz="4" w:space="0" w:color="auto"/>
              <w:right w:val="single" w:sz="8" w:space="0" w:color="auto"/>
            </w:tcBorders>
            <w:tcMar>
              <w:top w:w="0" w:type="dxa"/>
              <w:left w:w="108" w:type="dxa"/>
              <w:bottom w:w="0" w:type="dxa"/>
              <w:right w:w="108" w:type="dxa"/>
            </w:tcMar>
            <w:hideMark/>
          </w:tcPr>
          <w:p w:rsidR="003D01C6" w:rsidRPr="0044619A" w:rsidRDefault="003D01C6" w:rsidP="003D01C6">
            <w:pPr>
              <w:pStyle w:val="ListParagraph"/>
              <w:numPr>
                <w:ilvl w:val="0"/>
                <w:numId w:val="35"/>
              </w:numPr>
              <w:spacing w:before="60" w:after="60" w:line="240" w:lineRule="auto"/>
              <w:ind w:left="317" w:hanging="317"/>
              <w:rPr>
                <w:rFonts w:asciiTheme="minorHAnsi" w:hAnsiTheme="minorHAnsi"/>
                <w:sz w:val="22"/>
              </w:rPr>
            </w:pPr>
            <w:r w:rsidRPr="0044619A">
              <w:rPr>
                <w:rFonts w:asciiTheme="minorHAnsi" w:hAnsiTheme="minorHAnsi"/>
                <w:sz w:val="22"/>
              </w:rPr>
              <w:t>2016 L&amp;T Conference SCS Staff registrations to exceed those in 2015.</w:t>
            </w:r>
          </w:p>
        </w:tc>
        <w:tc>
          <w:tcPr>
            <w:tcW w:w="2693" w:type="dxa"/>
            <w:tcBorders>
              <w:top w:val="nil"/>
              <w:left w:val="nil"/>
              <w:bottom w:val="single" w:sz="4" w:space="0" w:color="auto"/>
              <w:right w:val="single" w:sz="8" w:space="0" w:color="auto"/>
            </w:tcBorders>
            <w:tcMar>
              <w:top w:w="0" w:type="dxa"/>
              <w:left w:w="108" w:type="dxa"/>
              <w:bottom w:w="0" w:type="dxa"/>
              <w:right w:w="108" w:type="dxa"/>
            </w:tcMar>
            <w:hideMark/>
          </w:tcPr>
          <w:p w:rsidR="003D01C6" w:rsidRPr="0044619A" w:rsidRDefault="003D01C6" w:rsidP="00D238E8">
            <w:pPr>
              <w:spacing w:before="60" w:after="60" w:line="240" w:lineRule="auto"/>
              <w:ind w:left="34"/>
              <w:rPr>
                <w:rFonts w:asciiTheme="minorHAnsi" w:hAnsiTheme="minorHAnsi"/>
                <w:sz w:val="22"/>
              </w:rPr>
            </w:pPr>
            <w:r w:rsidRPr="0044619A">
              <w:rPr>
                <w:rFonts w:asciiTheme="minorHAnsi" w:hAnsiTheme="minorHAnsi"/>
                <w:sz w:val="22"/>
              </w:rPr>
              <w:t>Led by Associate Dean (Education)</w:t>
            </w:r>
          </w:p>
        </w:tc>
        <w:tc>
          <w:tcPr>
            <w:tcW w:w="2693" w:type="dxa"/>
            <w:tcBorders>
              <w:top w:val="nil"/>
              <w:left w:val="nil"/>
              <w:bottom w:val="single" w:sz="4" w:space="0" w:color="auto"/>
              <w:right w:val="single" w:sz="8" w:space="0" w:color="auto"/>
            </w:tcBorders>
            <w:tcMar>
              <w:top w:w="0" w:type="dxa"/>
              <w:left w:w="108" w:type="dxa"/>
              <w:bottom w:w="0" w:type="dxa"/>
              <w:right w:w="108" w:type="dxa"/>
            </w:tcMar>
            <w:hideMark/>
          </w:tcPr>
          <w:p w:rsidR="003D01C6" w:rsidRPr="0044619A" w:rsidRDefault="003D01C6" w:rsidP="003D01C6">
            <w:pPr>
              <w:pStyle w:val="ListParagraph"/>
              <w:numPr>
                <w:ilvl w:val="0"/>
                <w:numId w:val="29"/>
              </w:numPr>
              <w:spacing w:before="60" w:after="60" w:line="240" w:lineRule="auto"/>
              <w:rPr>
                <w:rFonts w:asciiTheme="minorHAnsi" w:hAnsiTheme="minorHAnsi"/>
                <w:sz w:val="22"/>
              </w:rPr>
            </w:pPr>
            <w:r w:rsidRPr="0044619A">
              <w:rPr>
                <w:rFonts w:asciiTheme="minorHAnsi" w:hAnsiTheme="minorHAnsi"/>
                <w:sz w:val="22"/>
              </w:rPr>
              <w:t>£100 from FCEP</w:t>
            </w:r>
          </w:p>
        </w:tc>
      </w:tr>
      <w:tr w:rsidR="00290095" w:rsidRPr="0044619A" w:rsidTr="00290095">
        <w:trPr>
          <w:cantSplit/>
        </w:trPr>
        <w:tc>
          <w:tcPr>
            <w:tcW w:w="1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0095" w:rsidRPr="0044619A" w:rsidRDefault="00290095" w:rsidP="00725D59">
            <w:pPr>
              <w:spacing w:before="60" w:after="60" w:line="240" w:lineRule="auto"/>
              <w:rPr>
                <w:rFonts w:asciiTheme="minorHAnsi" w:hAnsiTheme="minorHAnsi"/>
                <w:sz w:val="22"/>
              </w:rPr>
            </w:pPr>
            <w:bookmarkStart w:id="0" w:name="_GoBack"/>
            <w:bookmarkEnd w:id="0"/>
            <w:r w:rsidRPr="0044619A">
              <w:rPr>
                <w:rFonts w:asciiTheme="minorHAnsi" w:hAnsiTheme="minorHAnsi"/>
                <w:b/>
                <w:bCs/>
                <w:sz w:val="22"/>
              </w:rPr>
              <w:lastRenderedPageBreak/>
              <w:t>LTA Strategy  1</w:t>
            </w:r>
            <w:r w:rsidRPr="0044619A">
              <w:rPr>
                <w:rFonts w:asciiTheme="minorHAnsi" w:hAnsiTheme="minorHAnsi"/>
                <w:sz w:val="22"/>
              </w:rPr>
              <w:t>-</w:t>
            </w:r>
            <w:r w:rsidRPr="0044619A">
              <w:rPr>
                <w:rFonts w:asciiTheme="minorHAnsi" w:hAnsiTheme="minorHAnsi"/>
                <w:b/>
                <w:bCs/>
                <w:sz w:val="22"/>
              </w:rPr>
              <w:t xml:space="preserve">3 </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0095" w:rsidRPr="0044619A" w:rsidRDefault="00290095" w:rsidP="00725D59">
            <w:pPr>
              <w:spacing w:before="60" w:after="60" w:line="240" w:lineRule="auto"/>
              <w:ind w:left="-42"/>
              <w:rPr>
                <w:rFonts w:asciiTheme="minorHAnsi" w:hAnsiTheme="minorHAnsi"/>
                <w:sz w:val="22"/>
              </w:rPr>
            </w:pPr>
            <w:r w:rsidRPr="0044619A">
              <w:rPr>
                <w:rFonts w:asciiTheme="minorHAnsi" w:hAnsiTheme="minorHAnsi"/>
                <w:sz w:val="22"/>
              </w:rPr>
              <w:t xml:space="preserve">To extend a pilot study within EHC into SCS, looking at the factors that influence students’ decisions to attend lectures, and whether these will be subject specific or generic. </w:t>
            </w:r>
            <w:r>
              <w:rPr>
                <w:rFonts w:asciiTheme="minorHAnsi" w:hAnsiTheme="minorHAnsi"/>
                <w:sz w:val="22"/>
              </w:rPr>
              <w:t xml:space="preserve"> </w:t>
            </w:r>
            <w:r w:rsidRPr="0044619A">
              <w:rPr>
                <w:rFonts w:asciiTheme="minorHAnsi" w:hAnsiTheme="minorHAnsi"/>
                <w:sz w:val="22"/>
              </w:rPr>
              <w:t>Funding will be used to offer incentives for student participation in focus groups.</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0095" w:rsidRPr="0044619A" w:rsidRDefault="00290095" w:rsidP="00725D59">
            <w:pPr>
              <w:spacing w:before="60" w:after="60" w:line="240" w:lineRule="auto"/>
              <w:rPr>
                <w:rFonts w:asciiTheme="minorHAnsi" w:hAnsiTheme="minorHAnsi"/>
                <w:sz w:val="22"/>
              </w:rPr>
            </w:pPr>
            <w:r w:rsidRPr="0044619A">
              <w:rPr>
                <w:rFonts w:asciiTheme="minorHAnsi" w:hAnsiTheme="minorHAnsi"/>
                <w:sz w:val="22"/>
              </w:rPr>
              <w:t>Outcomes of the project to be shared:</w:t>
            </w:r>
          </w:p>
          <w:p w:rsidR="00290095" w:rsidRPr="0044619A" w:rsidRDefault="00290095" w:rsidP="00290095">
            <w:pPr>
              <w:pStyle w:val="ListParagraph"/>
              <w:numPr>
                <w:ilvl w:val="0"/>
                <w:numId w:val="36"/>
              </w:numPr>
              <w:tabs>
                <w:tab w:val="clear" w:pos="720"/>
              </w:tabs>
              <w:spacing w:before="60" w:after="60" w:line="240" w:lineRule="auto"/>
              <w:ind w:left="284" w:hanging="284"/>
              <w:rPr>
                <w:rFonts w:asciiTheme="minorHAnsi" w:eastAsia="Times New Roman" w:hAnsiTheme="minorHAnsi"/>
                <w:sz w:val="22"/>
              </w:rPr>
            </w:pPr>
            <w:r w:rsidRPr="0044619A">
              <w:rPr>
                <w:rFonts w:asciiTheme="minorHAnsi" w:eastAsia="Times New Roman" w:hAnsiTheme="minorHAnsi"/>
                <w:sz w:val="22"/>
              </w:rPr>
              <w:t>with academic staff  in the two subject areas so that appropriate strategies can be used to enhance the student experience</w:t>
            </w:r>
            <w:r>
              <w:rPr>
                <w:rFonts w:asciiTheme="minorHAnsi" w:eastAsia="Times New Roman" w:hAnsiTheme="minorHAnsi"/>
                <w:sz w:val="22"/>
              </w:rPr>
              <w:t>,</w:t>
            </w:r>
          </w:p>
          <w:p w:rsidR="00290095" w:rsidRPr="0044619A" w:rsidRDefault="00290095" w:rsidP="00290095">
            <w:pPr>
              <w:pStyle w:val="ListParagraph"/>
              <w:numPr>
                <w:ilvl w:val="0"/>
                <w:numId w:val="36"/>
              </w:numPr>
              <w:tabs>
                <w:tab w:val="clear" w:pos="720"/>
              </w:tabs>
              <w:spacing w:before="60" w:after="60" w:line="240" w:lineRule="auto"/>
              <w:ind w:left="284" w:hanging="284"/>
              <w:rPr>
                <w:rFonts w:asciiTheme="minorHAnsi" w:eastAsia="Times New Roman" w:hAnsiTheme="minorHAnsi"/>
                <w:sz w:val="22"/>
              </w:rPr>
            </w:pPr>
            <w:r w:rsidRPr="0044619A">
              <w:rPr>
                <w:rFonts w:asciiTheme="minorHAnsi" w:eastAsia="Times New Roman" w:hAnsiTheme="minorHAnsi"/>
                <w:sz w:val="22"/>
              </w:rPr>
              <w:t xml:space="preserve">with a wider group of staff at </w:t>
            </w:r>
            <w:r w:rsidRPr="0044619A">
              <w:rPr>
                <w:rFonts w:asciiTheme="minorHAnsi" w:hAnsiTheme="minorHAnsi"/>
                <w:sz w:val="22"/>
              </w:rPr>
              <w:t>201</w:t>
            </w:r>
            <w:r>
              <w:rPr>
                <w:rFonts w:asciiTheme="minorHAnsi" w:hAnsiTheme="minorHAnsi"/>
                <w:sz w:val="22"/>
              </w:rPr>
              <w:t xml:space="preserve">7 </w:t>
            </w:r>
            <w:r w:rsidRPr="0044619A">
              <w:rPr>
                <w:rFonts w:asciiTheme="minorHAnsi" w:hAnsiTheme="minorHAnsi"/>
                <w:sz w:val="22"/>
              </w:rPr>
              <w:t>LJMU L&amp;T Conference</w:t>
            </w:r>
            <w:r>
              <w:rPr>
                <w:rFonts w:asciiTheme="minorHAnsi" w:eastAsia="Times New Roman" w:hAnsiTheme="minorHAnsi"/>
                <w:sz w:val="22"/>
              </w:rPr>
              <w:t>,</w:t>
            </w:r>
          </w:p>
          <w:p w:rsidR="00290095" w:rsidRPr="0044619A" w:rsidRDefault="00290095" w:rsidP="00290095">
            <w:pPr>
              <w:numPr>
                <w:ilvl w:val="0"/>
                <w:numId w:val="36"/>
              </w:numPr>
              <w:tabs>
                <w:tab w:val="clear" w:pos="720"/>
              </w:tabs>
              <w:spacing w:before="60" w:after="60" w:line="240" w:lineRule="auto"/>
              <w:ind w:left="284" w:hanging="284"/>
              <w:rPr>
                <w:rFonts w:asciiTheme="minorHAnsi" w:eastAsia="Times New Roman" w:hAnsiTheme="minorHAnsi"/>
                <w:sz w:val="22"/>
              </w:rPr>
            </w:pPr>
            <w:r w:rsidRPr="0044619A">
              <w:rPr>
                <w:rFonts w:asciiTheme="minorHAnsi" w:eastAsia="Times New Roman" w:hAnsiTheme="minorHAnsi"/>
                <w:sz w:val="22"/>
              </w:rPr>
              <w:t>outside LJMU by publication</w:t>
            </w:r>
            <w:r>
              <w:rPr>
                <w:rFonts w:asciiTheme="minorHAnsi" w:eastAsia="Times New Roman" w:hAnsiTheme="minorHAnsi"/>
                <w:sz w:val="22"/>
              </w:rPr>
              <w:t>.</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0095" w:rsidRPr="0044619A" w:rsidRDefault="00290095" w:rsidP="00725D59">
            <w:pPr>
              <w:spacing w:before="60" w:after="60" w:line="240" w:lineRule="auto"/>
              <w:ind w:left="34"/>
              <w:rPr>
                <w:rFonts w:asciiTheme="minorHAnsi" w:hAnsiTheme="minorHAnsi"/>
                <w:sz w:val="22"/>
              </w:rPr>
            </w:pPr>
            <w:r w:rsidRPr="0044619A">
              <w:rPr>
                <w:rFonts w:asciiTheme="minorHAnsi" w:hAnsiTheme="minorHAnsi"/>
                <w:sz w:val="22"/>
              </w:rPr>
              <w:t>Led by Janice Harland  and Amanda Reid (SCS) in collaboration with  Phil Carey (EHC)</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0095" w:rsidRPr="0044619A" w:rsidRDefault="00290095" w:rsidP="00290095">
            <w:pPr>
              <w:pStyle w:val="ListParagraph"/>
              <w:numPr>
                <w:ilvl w:val="0"/>
                <w:numId w:val="29"/>
              </w:numPr>
              <w:spacing w:before="60" w:after="60" w:line="240" w:lineRule="auto"/>
              <w:rPr>
                <w:rFonts w:asciiTheme="minorHAnsi" w:hAnsiTheme="minorHAnsi"/>
                <w:sz w:val="22"/>
              </w:rPr>
            </w:pPr>
            <w:r w:rsidRPr="0044619A">
              <w:rPr>
                <w:rFonts w:asciiTheme="minorHAnsi" w:hAnsiTheme="minorHAnsi"/>
                <w:sz w:val="22"/>
              </w:rPr>
              <w:t>50 x £10 Amazon vouchers from FCEP</w:t>
            </w:r>
          </w:p>
        </w:tc>
      </w:tr>
      <w:tr w:rsidR="00290095" w:rsidRPr="0044619A" w:rsidTr="00290095">
        <w:trPr>
          <w:cantSplit/>
        </w:trPr>
        <w:tc>
          <w:tcPr>
            <w:tcW w:w="1100" w:type="dxa"/>
            <w:tcBorders>
              <w:top w:val="single" w:sz="4" w:space="0" w:color="auto"/>
              <w:left w:val="single" w:sz="8" w:space="0" w:color="auto"/>
              <w:bottom w:val="single" w:sz="8" w:space="0" w:color="auto"/>
              <w:right w:val="single" w:sz="8" w:space="0" w:color="auto"/>
            </w:tcBorders>
            <w:tcMar>
              <w:top w:w="113" w:type="dxa"/>
              <w:left w:w="108" w:type="dxa"/>
              <w:bottom w:w="113" w:type="dxa"/>
              <w:right w:w="108" w:type="dxa"/>
            </w:tcMar>
            <w:hideMark/>
          </w:tcPr>
          <w:p w:rsidR="00290095" w:rsidRPr="0044619A" w:rsidRDefault="00290095" w:rsidP="00725D59">
            <w:pPr>
              <w:spacing w:before="60" w:after="60" w:line="240" w:lineRule="auto"/>
              <w:rPr>
                <w:rFonts w:asciiTheme="minorHAnsi" w:hAnsiTheme="minorHAnsi"/>
                <w:sz w:val="22"/>
              </w:rPr>
            </w:pPr>
            <w:r w:rsidRPr="0044619A">
              <w:rPr>
                <w:rFonts w:asciiTheme="minorHAnsi" w:hAnsiTheme="minorHAnsi"/>
                <w:b/>
                <w:bCs/>
                <w:sz w:val="22"/>
              </w:rPr>
              <w:t>LTA Strategy 1,3</w:t>
            </w:r>
            <w:r w:rsidRPr="0044619A">
              <w:rPr>
                <w:rFonts w:asciiTheme="minorHAnsi" w:hAnsiTheme="minorHAnsi"/>
                <w:sz w:val="22"/>
              </w:rPr>
              <w:t xml:space="preserve"> </w:t>
            </w:r>
          </w:p>
        </w:tc>
        <w:tc>
          <w:tcPr>
            <w:tcW w:w="4820" w:type="dxa"/>
            <w:tcBorders>
              <w:top w:val="single" w:sz="4" w:space="0" w:color="auto"/>
              <w:left w:val="nil"/>
              <w:bottom w:val="single" w:sz="8" w:space="0" w:color="auto"/>
              <w:right w:val="single" w:sz="8" w:space="0" w:color="auto"/>
            </w:tcBorders>
            <w:tcMar>
              <w:top w:w="113" w:type="dxa"/>
              <w:left w:w="108" w:type="dxa"/>
              <w:bottom w:w="113" w:type="dxa"/>
              <w:right w:w="108" w:type="dxa"/>
            </w:tcMar>
            <w:hideMark/>
          </w:tcPr>
          <w:p w:rsidR="00290095" w:rsidRPr="0044619A" w:rsidRDefault="00290095" w:rsidP="00725D59">
            <w:pPr>
              <w:spacing w:before="60" w:after="60" w:line="240" w:lineRule="auto"/>
              <w:rPr>
                <w:rFonts w:asciiTheme="minorHAnsi" w:hAnsiTheme="minorHAnsi"/>
                <w:sz w:val="22"/>
              </w:rPr>
            </w:pPr>
            <w:r w:rsidRPr="0044619A">
              <w:rPr>
                <w:rFonts w:asciiTheme="minorHAnsi" w:hAnsiTheme="minorHAnsi"/>
                <w:sz w:val="22"/>
              </w:rPr>
              <w:t>Inspired by the 2016 LJMU L&amp;T Conference, the intention is to provide 2016/17 first-year Biomedical Sciences, Forensic Science and Biochemistry students with a bound planner containing generic programme information and an academic diary.  Students will be actively encouraged to plan and record their scheduled commitments.  Schools use these planners extensively and it is hoped that the continuation of this through at least level 4 will help in the successful transition to university.</w:t>
            </w:r>
          </w:p>
        </w:tc>
        <w:tc>
          <w:tcPr>
            <w:tcW w:w="3119" w:type="dxa"/>
            <w:tcBorders>
              <w:top w:val="single" w:sz="4" w:space="0" w:color="auto"/>
              <w:left w:val="nil"/>
              <w:bottom w:val="single" w:sz="8" w:space="0" w:color="auto"/>
              <w:right w:val="single" w:sz="8" w:space="0" w:color="auto"/>
            </w:tcBorders>
            <w:tcMar>
              <w:top w:w="113" w:type="dxa"/>
              <w:left w:w="108" w:type="dxa"/>
              <w:bottom w:w="113" w:type="dxa"/>
              <w:right w:w="108" w:type="dxa"/>
            </w:tcMar>
            <w:hideMark/>
          </w:tcPr>
          <w:p w:rsidR="00290095" w:rsidRPr="0044619A" w:rsidRDefault="00290095" w:rsidP="00290095">
            <w:pPr>
              <w:pStyle w:val="ListParagraph"/>
              <w:numPr>
                <w:ilvl w:val="0"/>
                <w:numId w:val="29"/>
              </w:numPr>
              <w:spacing w:before="60" w:after="60" w:line="240" w:lineRule="auto"/>
              <w:rPr>
                <w:rFonts w:asciiTheme="minorHAnsi" w:hAnsiTheme="minorHAnsi"/>
                <w:sz w:val="22"/>
              </w:rPr>
            </w:pPr>
            <w:r w:rsidRPr="0044619A">
              <w:rPr>
                <w:rFonts w:asciiTheme="minorHAnsi" w:hAnsiTheme="minorHAnsi"/>
                <w:sz w:val="22"/>
              </w:rPr>
              <w:t>Students will be asked to evaluate the value of the planner in their transition to university.</w:t>
            </w:r>
          </w:p>
          <w:p w:rsidR="00290095" w:rsidRPr="0044619A" w:rsidRDefault="00290095" w:rsidP="00290095">
            <w:pPr>
              <w:pStyle w:val="ListParagraph"/>
              <w:numPr>
                <w:ilvl w:val="0"/>
                <w:numId w:val="29"/>
              </w:numPr>
              <w:spacing w:before="60" w:after="60" w:line="240" w:lineRule="auto"/>
              <w:rPr>
                <w:rFonts w:asciiTheme="minorHAnsi" w:hAnsiTheme="minorHAnsi"/>
                <w:sz w:val="22"/>
              </w:rPr>
            </w:pPr>
            <w:r w:rsidRPr="0044619A">
              <w:rPr>
                <w:rFonts w:asciiTheme="minorHAnsi" w:hAnsiTheme="minorHAnsi"/>
                <w:sz w:val="22"/>
              </w:rPr>
              <w:t>Outcomes of the project to be shared within Faculty through LTA development day.</w:t>
            </w:r>
          </w:p>
          <w:p w:rsidR="00290095" w:rsidRPr="0044619A" w:rsidRDefault="00290095" w:rsidP="00290095">
            <w:pPr>
              <w:pStyle w:val="ListParagraph"/>
              <w:numPr>
                <w:ilvl w:val="0"/>
                <w:numId w:val="29"/>
              </w:numPr>
              <w:spacing w:before="60" w:after="60" w:line="240" w:lineRule="auto"/>
              <w:rPr>
                <w:rFonts w:asciiTheme="minorHAnsi" w:hAnsiTheme="minorHAnsi"/>
                <w:sz w:val="22"/>
              </w:rPr>
            </w:pPr>
            <w:r w:rsidRPr="0044619A">
              <w:rPr>
                <w:rFonts w:asciiTheme="minorHAnsi" w:hAnsiTheme="minorHAnsi"/>
                <w:sz w:val="22"/>
              </w:rPr>
              <w:t>Future funding to be sought is project is successful.</w:t>
            </w:r>
          </w:p>
        </w:tc>
        <w:tc>
          <w:tcPr>
            <w:tcW w:w="2693" w:type="dxa"/>
            <w:tcBorders>
              <w:top w:val="single" w:sz="4" w:space="0" w:color="auto"/>
              <w:left w:val="nil"/>
              <w:bottom w:val="single" w:sz="8" w:space="0" w:color="auto"/>
              <w:right w:val="single" w:sz="8" w:space="0" w:color="auto"/>
            </w:tcBorders>
            <w:tcMar>
              <w:top w:w="113" w:type="dxa"/>
              <w:left w:w="108" w:type="dxa"/>
              <w:bottom w:w="113" w:type="dxa"/>
              <w:right w:w="108" w:type="dxa"/>
            </w:tcMar>
            <w:hideMark/>
          </w:tcPr>
          <w:p w:rsidR="00290095" w:rsidRPr="0044619A" w:rsidRDefault="00290095" w:rsidP="00725D59">
            <w:pPr>
              <w:spacing w:before="60" w:after="60" w:line="240" w:lineRule="auto"/>
              <w:ind w:left="34"/>
              <w:rPr>
                <w:rFonts w:asciiTheme="minorHAnsi" w:hAnsiTheme="minorHAnsi"/>
                <w:sz w:val="22"/>
              </w:rPr>
            </w:pPr>
            <w:r w:rsidRPr="0044619A">
              <w:rPr>
                <w:rFonts w:asciiTheme="minorHAnsi" w:hAnsiTheme="minorHAnsi"/>
                <w:sz w:val="22"/>
              </w:rPr>
              <w:t xml:space="preserve">Led by Amanda Reid (PBS) </w:t>
            </w:r>
          </w:p>
        </w:tc>
        <w:tc>
          <w:tcPr>
            <w:tcW w:w="2693" w:type="dxa"/>
            <w:tcBorders>
              <w:top w:val="single" w:sz="4" w:space="0" w:color="auto"/>
              <w:left w:val="nil"/>
              <w:bottom w:val="single" w:sz="8" w:space="0" w:color="auto"/>
              <w:right w:val="single" w:sz="8" w:space="0" w:color="auto"/>
            </w:tcBorders>
            <w:tcMar>
              <w:top w:w="113" w:type="dxa"/>
              <w:left w:w="108" w:type="dxa"/>
              <w:bottom w:w="113" w:type="dxa"/>
              <w:right w:w="108" w:type="dxa"/>
            </w:tcMar>
            <w:hideMark/>
          </w:tcPr>
          <w:p w:rsidR="00290095" w:rsidRPr="0044619A" w:rsidRDefault="00290095" w:rsidP="00290095">
            <w:pPr>
              <w:pStyle w:val="ListParagraph"/>
              <w:numPr>
                <w:ilvl w:val="0"/>
                <w:numId w:val="37"/>
              </w:numPr>
              <w:spacing w:before="60" w:after="60" w:line="240" w:lineRule="auto"/>
              <w:rPr>
                <w:rFonts w:asciiTheme="minorHAnsi" w:hAnsiTheme="minorHAnsi"/>
                <w:sz w:val="22"/>
              </w:rPr>
            </w:pPr>
            <w:r w:rsidRPr="0044619A">
              <w:rPr>
                <w:rFonts w:asciiTheme="minorHAnsi" w:hAnsiTheme="minorHAnsi"/>
                <w:sz w:val="22"/>
              </w:rPr>
              <w:t>£900 from FCEP</w:t>
            </w:r>
          </w:p>
        </w:tc>
      </w:tr>
      <w:tr w:rsidR="003D01C6" w:rsidRPr="000051C1" w:rsidTr="003D01C6">
        <w:tc>
          <w:tcPr>
            <w:tcW w:w="1100" w:type="dxa"/>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rsidR="003D01C6" w:rsidRPr="003D01C6" w:rsidRDefault="003D01C6" w:rsidP="003D01C6">
            <w:pPr>
              <w:spacing w:before="60" w:after="60"/>
              <w:rPr>
                <w:rFonts w:asciiTheme="minorHAnsi" w:hAnsiTheme="minorHAnsi"/>
                <w:b/>
                <w:bCs/>
                <w:sz w:val="22"/>
              </w:rPr>
            </w:pPr>
            <w:r w:rsidRPr="003D01C6">
              <w:rPr>
                <w:rFonts w:asciiTheme="minorHAnsi" w:hAnsiTheme="minorHAnsi"/>
                <w:b/>
                <w:bCs/>
                <w:sz w:val="22"/>
              </w:rPr>
              <w:t>Totals</w:t>
            </w:r>
          </w:p>
        </w:tc>
        <w:tc>
          <w:tcPr>
            <w:tcW w:w="4820" w:type="dxa"/>
            <w:tcBorders>
              <w:top w:val="nil"/>
              <w:left w:val="nil"/>
              <w:bottom w:val="single" w:sz="8" w:space="0" w:color="auto"/>
              <w:right w:val="single" w:sz="8" w:space="0" w:color="auto"/>
            </w:tcBorders>
            <w:tcMar>
              <w:top w:w="113" w:type="dxa"/>
              <w:left w:w="108" w:type="dxa"/>
              <w:bottom w:w="113" w:type="dxa"/>
              <w:right w:w="108" w:type="dxa"/>
            </w:tcMar>
            <w:hideMark/>
          </w:tcPr>
          <w:p w:rsidR="003D01C6" w:rsidRPr="003D01C6" w:rsidRDefault="003D01C6" w:rsidP="003D01C6">
            <w:pPr>
              <w:spacing w:before="60" w:after="60"/>
              <w:rPr>
                <w:rFonts w:asciiTheme="minorHAnsi" w:hAnsiTheme="minorHAnsi"/>
                <w:sz w:val="22"/>
              </w:rPr>
            </w:pPr>
          </w:p>
        </w:tc>
        <w:tc>
          <w:tcPr>
            <w:tcW w:w="3119" w:type="dxa"/>
            <w:tcBorders>
              <w:top w:val="nil"/>
              <w:left w:val="nil"/>
              <w:bottom w:val="single" w:sz="8" w:space="0" w:color="auto"/>
              <w:right w:val="single" w:sz="8" w:space="0" w:color="auto"/>
            </w:tcBorders>
            <w:tcMar>
              <w:top w:w="113" w:type="dxa"/>
              <w:left w:w="108" w:type="dxa"/>
              <w:bottom w:w="113" w:type="dxa"/>
              <w:right w:w="108" w:type="dxa"/>
            </w:tcMar>
            <w:hideMark/>
          </w:tcPr>
          <w:p w:rsidR="003D01C6" w:rsidRPr="003D01C6" w:rsidRDefault="003D01C6" w:rsidP="003D01C6">
            <w:pPr>
              <w:pStyle w:val="ListParagraph"/>
              <w:spacing w:before="60" w:after="60"/>
              <w:ind w:left="360" w:hanging="360"/>
              <w:rPr>
                <w:rFonts w:asciiTheme="minorHAnsi" w:hAnsiTheme="minorHAnsi"/>
                <w:sz w:val="22"/>
              </w:rPr>
            </w:pPr>
          </w:p>
        </w:tc>
        <w:tc>
          <w:tcPr>
            <w:tcW w:w="2693" w:type="dxa"/>
            <w:tcBorders>
              <w:top w:val="nil"/>
              <w:left w:val="nil"/>
              <w:bottom w:val="single" w:sz="8" w:space="0" w:color="auto"/>
              <w:right w:val="single" w:sz="8" w:space="0" w:color="auto"/>
            </w:tcBorders>
            <w:tcMar>
              <w:top w:w="113" w:type="dxa"/>
              <w:left w:w="108" w:type="dxa"/>
              <w:bottom w:w="113" w:type="dxa"/>
              <w:right w:w="108" w:type="dxa"/>
            </w:tcMar>
            <w:hideMark/>
          </w:tcPr>
          <w:p w:rsidR="003D01C6" w:rsidRPr="003D01C6" w:rsidRDefault="003D01C6" w:rsidP="003D01C6">
            <w:pPr>
              <w:spacing w:before="60" w:after="60"/>
              <w:ind w:left="34"/>
              <w:rPr>
                <w:rFonts w:asciiTheme="minorHAnsi" w:hAnsiTheme="minorHAnsi"/>
                <w:sz w:val="22"/>
              </w:rPr>
            </w:pPr>
          </w:p>
        </w:tc>
        <w:tc>
          <w:tcPr>
            <w:tcW w:w="2693" w:type="dxa"/>
            <w:tcBorders>
              <w:top w:val="nil"/>
              <w:left w:val="nil"/>
              <w:bottom w:val="single" w:sz="8" w:space="0" w:color="auto"/>
              <w:right w:val="single" w:sz="8" w:space="0" w:color="auto"/>
            </w:tcBorders>
            <w:tcMar>
              <w:top w:w="113" w:type="dxa"/>
              <w:left w:w="108" w:type="dxa"/>
              <w:bottom w:w="113" w:type="dxa"/>
              <w:right w:w="108" w:type="dxa"/>
            </w:tcMar>
            <w:hideMark/>
          </w:tcPr>
          <w:p w:rsidR="003D01C6" w:rsidRPr="003D01C6" w:rsidRDefault="003D01C6" w:rsidP="00BB30F3">
            <w:pPr>
              <w:pStyle w:val="ListParagraph"/>
              <w:spacing w:before="60" w:after="60"/>
              <w:ind w:left="0"/>
              <w:rPr>
                <w:rFonts w:asciiTheme="minorHAnsi" w:hAnsiTheme="minorHAnsi"/>
                <w:sz w:val="22"/>
              </w:rPr>
            </w:pPr>
            <w:r w:rsidRPr="003D01C6">
              <w:rPr>
                <w:rFonts w:asciiTheme="minorHAnsi" w:hAnsiTheme="minorHAnsi"/>
                <w:sz w:val="22"/>
              </w:rPr>
              <w:t>FAC = £7870,  FCEP = £</w:t>
            </w:r>
            <w:r>
              <w:rPr>
                <w:rFonts w:asciiTheme="minorHAnsi" w:hAnsiTheme="minorHAnsi"/>
                <w:sz w:val="22"/>
              </w:rPr>
              <w:t>41</w:t>
            </w:r>
            <w:r w:rsidR="00BB30F3">
              <w:rPr>
                <w:rFonts w:asciiTheme="minorHAnsi" w:hAnsiTheme="minorHAnsi"/>
                <w:sz w:val="22"/>
              </w:rPr>
              <w:t>4</w:t>
            </w:r>
            <w:r w:rsidRPr="003D01C6">
              <w:rPr>
                <w:rFonts w:asciiTheme="minorHAnsi" w:hAnsiTheme="minorHAnsi"/>
                <w:sz w:val="22"/>
              </w:rPr>
              <w:t>0, HET = £10000</w:t>
            </w:r>
          </w:p>
        </w:tc>
      </w:tr>
    </w:tbl>
    <w:p w:rsidR="00842A91" w:rsidRPr="00326FAC" w:rsidRDefault="00326FAC" w:rsidP="00C231B0">
      <w:pPr>
        <w:spacing w:after="0"/>
        <w:rPr>
          <w:rFonts w:ascii="Calibri" w:hAnsi="Calibri"/>
          <w:color w:val="000000" w:themeColor="text1"/>
          <w:sz w:val="22"/>
        </w:rPr>
      </w:pPr>
      <w:r w:rsidRPr="00326FAC">
        <w:rPr>
          <w:rFonts w:ascii="Calibri" w:hAnsi="Calibri"/>
          <w:color w:val="000000" w:themeColor="text1"/>
          <w:sz w:val="22"/>
        </w:rPr>
        <w:t>*</w:t>
      </w:r>
      <w:r>
        <w:rPr>
          <w:rFonts w:ascii="Calibri" w:hAnsi="Calibri"/>
          <w:color w:val="000000" w:themeColor="text1"/>
          <w:sz w:val="22"/>
        </w:rPr>
        <w:t>Funding stream as indicated:</w:t>
      </w:r>
      <w:r w:rsidRPr="00326FAC">
        <w:t xml:space="preserve"> </w:t>
      </w:r>
      <w:r w:rsidR="009412AE">
        <w:rPr>
          <w:rFonts w:ascii="Calibri" w:hAnsi="Calibri"/>
          <w:color w:val="000000" w:themeColor="text1"/>
          <w:sz w:val="22"/>
        </w:rPr>
        <w:t xml:space="preserve">FAC </w:t>
      </w:r>
      <w:r w:rsidRPr="00326FAC">
        <w:rPr>
          <w:rFonts w:ascii="Calibri" w:hAnsi="Calibri"/>
          <w:color w:val="000000" w:themeColor="text1"/>
          <w:sz w:val="22"/>
        </w:rPr>
        <w:t>= Faculty</w:t>
      </w:r>
      <w:r>
        <w:rPr>
          <w:rFonts w:ascii="Calibri" w:hAnsi="Calibri"/>
          <w:color w:val="000000" w:themeColor="text1"/>
          <w:sz w:val="22"/>
        </w:rPr>
        <w:t xml:space="preserve">, </w:t>
      </w:r>
      <w:r w:rsidR="0048434D">
        <w:rPr>
          <w:rFonts w:ascii="Calibri" w:hAnsi="Calibri"/>
          <w:color w:val="000000" w:themeColor="text1"/>
          <w:sz w:val="22"/>
        </w:rPr>
        <w:t>F</w:t>
      </w:r>
      <w:r w:rsidRPr="00326FAC">
        <w:rPr>
          <w:rFonts w:ascii="Calibri" w:hAnsi="Calibri"/>
          <w:color w:val="000000" w:themeColor="text1"/>
          <w:sz w:val="22"/>
        </w:rPr>
        <w:t xml:space="preserve">CEP = </w:t>
      </w:r>
      <w:r w:rsidR="00D0755D">
        <w:rPr>
          <w:rFonts w:ascii="Calibri" w:hAnsi="Calibri"/>
          <w:color w:val="000000" w:themeColor="text1"/>
          <w:sz w:val="22"/>
        </w:rPr>
        <w:t xml:space="preserve">Faculty </w:t>
      </w:r>
      <w:r w:rsidRPr="00326FAC">
        <w:rPr>
          <w:rFonts w:ascii="Calibri" w:hAnsi="Calibri"/>
          <w:color w:val="000000" w:themeColor="text1"/>
          <w:sz w:val="22"/>
        </w:rPr>
        <w:t>Curriculum Enhancement Project</w:t>
      </w:r>
      <w:r w:rsidR="006C1AD8">
        <w:rPr>
          <w:rFonts w:ascii="Calibri" w:hAnsi="Calibri"/>
          <w:color w:val="000000" w:themeColor="text1"/>
          <w:sz w:val="22"/>
        </w:rPr>
        <w:t xml:space="preserve">, </w:t>
      </w:r>
      <w:r w:rsidR="0048434D">
        <w:rPr>
          <w:rFonts w:ascii="Calibri" w:hAnsi="Calibri"/>
          <w:color w:val="000000" w:themeColor="text1"/>
          <w:sz w:val="22"/>
        </w:rPr>
        <w:t xml:space="preserve">UCEPI = University Curriculum Enhancement Project or </w:t>
      </w:r>
      <w:r w:rsidR="00D0755D">
        <w:rPr>
          <w:rFonts w:ascii="Calibri" w:hAnsi="Calibri"/>
          <w:color w:val="000000" w:themeColor="text1"/>
          <w:sz w:val="22"/>
        </w:rPr>
        <w:t>I</w:t>
      </w:r>
      <w:r w:rsidR="0048434D">
        <w:rPr>
          <w:rFonts w:ascii="Calibri" w:hAnsi="Calibri"/>
          <w:color w:val="000000" w:themeColor="text1"/>
          <w:sz w:val="22"/>
        </w:rPr>
        <w:t xml:space="preserve">nternships, </w:t>
      </w:r>
      <w:r w:rsidR="006C1AD8">
        <w:rPr>
          <w:rFonts w:ascii="Calibri" w:hAnsi="Calibri"/>
          <w:color w:val="000000" w:themeColor="text1"/>
          <w:sz w:val="22"/>
        </w:rPr>
        <w:t xml:space="preserve">HET = </w:t>
      </w:r>
      <w:r w:rsidR="006C1AD8" w:rsidRPr="006C1AD8">
        <w:rPr>
          <w:rFonts w:ascii="Calibri" w:hAnsi="Calibri"/>
          <w:color w:val="000000" w:themeColor="text1"/>
          <w:sz w:val="22"/>
        </w:rPr>
        <w:t>Holt Education Trust</w:t>
      </w:r>
      <w:r w:rsidR="006A72C6">
        <w:rPr>
          <w:rFonts w:ascii="Calibri" w:hAnsi="Calibri"/>
          <w:color w:val="000000" w:themeColor="text1"/>
          <w:sz w:val="22"/>
        </w:rPr>
        <w:t>.</w:t>
      </w:r>
      <w:r w:rsidR="006C1AD8" w:rsidRPr="006C1AD8">
        <w:rPr>
          <w:rFonts w:ascii="Calibri" w:hAnsi="Calibri"/>
          <w:color w:val="000000" w:themeColor="text1"/>
          <w:sz w:val="22"/>
        </w:rPr>
        <w:t xml:space="preserve"> </w:t>
      </w:r>
      <w:r w:rsidR="006C1AD8">
        <w:rPr>
          <w:rFonts w:ascii="Calibri" w:hAnsi="Calibri"/>
          <w:color w:val="000000" w:themeColor="text1"/>
          <w:sz w:val="22"/>
        </w:rPr>
        <w:t xml:space="preserve"> </w:t>
      </w:r>
    </w:p>
    <w:p w:rsidR="00BF5595" w:rsidRDefault="00842A91" w:rsidP="00A42AD9">
      <w:pPr>
        <w:pStyle w:val="ListParagraph"/>
        <w:spacing w:after="0"/>
        <w:ind w:left="0"/>
        <w:jc w:val="right"/>
        <w:rPr>
          <w:rFonts w:ascii="Calibri" w:hAnsi="Calibri"/>
          <w:color w:val="000000" w:themeColor="text1"/>
          <w:sz w:val="22"/>
        </w:rPr>
      </w:pPr>
      <w:r w:rsidRPr="007A2696">
        <w:rPr>
          <w:rFonts w:ascii="Calibri" w:hAnsi="Calibri"/>
          <w:color w:val="000000" w:themeColor="text1"/>
          <w:sz w:val="22"/>
        </w:rPr>
        <w:t>Phil Denton, Associate Dean (Education)</w:t>
      </w:r>
      <w:r w:rsidR="00A42AD9">
        <w:rPr>
          <w:rFonts w:ascii="Calibri" w:hAnsi="Calibri"/>
          <w:color w:val="000000" w:themeColor="text1"/>
          <w:sz w:val="22"/>
        </w:rPr>
        <w:t xml:space="preserve"> </w:t>
      </w:r>
    </w:p>
    <w:p w:rsidR="003D01C6" w:rsidRDefault="003D01C6" w:rsidP="00C35C0E">
      <w:pPr>
        <w:pStyle w:val="ListParagraph"/>
        <w:spacing w:after="0"/>
        <w:ind w:left="0"/>
        <w:jc w:val="right"/>
        <w:rPr>
          <w:rFonts w:ascii="Calibri" w:hAnsi="Calibri"/>
          <w:color w:val="000000" w:themeColor="text1"/>
          <w:sz w:val="16"/>
          <w:szCs w:val="16"/>
        </w:rPr>
      </w:pPr>
      <w:r>
        <w:rPr>
          <w:rFonts w:ascii="Calibri" w:hAnsi="Calibri"/>
          <w:color w:val="000000" w:themeColor="text1"/>
          <w:sz w:val="16"/>
          <w:szCs w:val="16"/>
        </w:rPr>
        <w:t xml:space="preserve">Approved by </w:t>
      </w:r>
      <w:r w:rsidRPr="003D01C6">
        <w:rPr>
          <w:rFonts w:ascii="Calibri" w:hAnsi="Calibri"/>
          <w:color w:val="000000" w:themeColor="text1"/>
          <w:sz w:val="16"/>
          <w:szCs w:val="16"/>
        </w:rPr>
        <w:t>Faculty Education Committee</w:t>
      </w:r>
      <w:r>
        <w:rPr>
          <w:rFonts w:ascii="Calibri" w:hAnsi="Calibri"/>
          <w:color w:val="000000" w:themeColor="text1"/>
          <w:sz w:val="16"/>
          <w:szCs w:val="16"/>
        </w:rPr>
        <w:t xml:space="preserve"> Chair’s Action 26/6/16 with additional activities.</w:t>
      </w:r>
    </w:p>
    <w:p w:rsidR="00C35C0E" w:rsidRPr="003D01C6" w:rsidRDefault="003D01C6" w:rsidP="00C35C0E">
      <w:pPr>
        <w:pStyle w:val="ListParagraph"/>
        <w:spacing w:after="0"/>
        <w:ind w:left="0"/>
        <w:jc w:val="right"/>
        <w:rPr>
          <w:rFonts w:ascii="Calibri" w:hAnsi="Calibri"/>
          <w:color w:val="000000" w:themeColor="text1"/>
          <w:sz w:val="16"/>
          <w:szCs w:val="16"/>
        </w:rPr>
      </w:pPr>
      <w:r w:rsidRPr="003D01C6">
        <w:rPr>
          <w:rFonts w:ascii="Calibri" w:hAnsi="Calibri"/>
          <w:color w:val="000000" w:themeColor="text1"/>
          <w:sz w:val="16"/>
          <w:szCs w:val="16"/>
        </w:rPr>
        <w:t>A</w:t>
      </w:r>
      <w:r w:rsidR="00C35C0E" w:rsidRPr="003D01C6">
        <w:rPr>
          <w:rFonts w:ascii="Calibri" w:hAnsi="Calibri"/>
          <w:color w:val="000000" w:themeColor="text1"/>
          <w:sz w:val="16"/>
          <w:szCs w:val="16"/>
        </w:rPr>
        <w:t>pproved Faculty Education Committee</w:t>
      </w:r>
      <w:r w:rsidR="00C35C0E" w:rsidRPr="003D01C6">
        <w:rPr>
          <w:rFonts w:asciiTheme="minorHAnsi" w:hAnsiTheme="minorHAnsi" w:cs="Arial"/>
          <w:sz w:val="16"/>
          <w:szCs w:val="16"/>
        </w:rPr>
        <w:t xml:space="preserve"> 30/3/16 with revised activity/targets.</w:t>
      </w:r>
      <w:r w:rsidR="00C35C0E" w:rsidRPr="003D01C6">
        <w:rPr>
          <w:rFonts w:ascii="Calibri" w:hAnsi="Calibri"/>
          <w:color w:val="000000" w:themeColor="text1"/>
          <w:sz w:val="16"/>
          <w:szCs w:val="16"/>
        </w:rPr>
        <w:t xml:space="preserve"> </w:t>
      </w:r>
    </w:p>
    <w:p w:rsidR="00C35C0E" w:rsidRPr="003D01C6" w:rsidRDefault="00C35C0E" w:rsidP="00C35C0E">
      <w:pPr>
        <w:pStyle w:val="ListParagraph"/>
        <w:spacing w:after="0"/>
        <w:ind w:left="0"/>
        <w:jc w:val="right"/>
        <w:rPr>
          <w:rFonts w:ascii="Calibri" w:hAnsi="Calibri"/>
          <w:color w:val="000000" w:themeColor="text1"/>
          <w:sz w:val="16"/>
          <w:szCs w:val="16"/>
        </w:rPr>
      </w:pPr>
      <w:r w:rsidRPr="003D01C6">
        <w:rPr>
          <w:rFonts w:ascii="Calibri" w:hAnsi="Calibri"/>
          <w:color w:val="000000" w:themeColor="text1"/>
          <w:sz w:val="16"/>
          <w:szCs w:val="16"/>
        </w:rPr>
        <w:t>Approved Faculty Education Committee</w:t>
      </w:r>
      <w:r w:rsidRPr="003D01C6">
        <w:rPr>
          <w:rFonts w:asciiTheme="minorHAnsi" w:hAnsiTheme="minorHAnsi" w:cs="Arial"/>
          <w:sz w:val="16"/>
          <w:szCs w:val="16"/>
        </w:rPr>
        <w:t xml:space="preserve"> 28/1/16 with revised costings.</w:t>
      </w:r>
      <w:r w:rsidRPr="003D01C6">
        <w:rPr>
          <w:rFonts w:ascii="Calibri" w:hAnsi="Calibri"/>
          <w:color w:val="000000" w:themeColor="text1"/>
          <w:sz w:val="16"/>
          <w:szCs w:val="16"/>
        </w:rPr>
        <w:t xml:space="preserve"> </w:t>
      </w:r>
    </w:p>
    <w:p w:rsidR="00AE095A" w:rsidRPr="003D01C6" w:rsidRDefault="00C35C0E" w:rsidP="0048434D">
      <w:pPr>
        <w:pStyle w:val="ListParagraph"/>
        <w:spacing w:after="0"/>
        <w:ind w:left="0"/>
        <w:jc w:val="right"/>
        <w:rPr>
          <w:rFonts w:asciiTheme="minorHAnsi" w:hAnsiTheme="minorHAnsi" w:cs="Arial"/>
          <w:sz w:val="16"/>
          <w:szCs w:val="16"/>
        </w:rPr>
      </w:pPr>
      <w:r w:rsidRPr="003D01C6">
        <w:rPr>
          <w:rFonts w:ascii="Calibri" w:hAnsi="Calibri"/>
          <w:color w:val="000000" w:themeColor="text1"/>
          <w:sz w:val="16"/>
          <w:szCs w:val="16"/>
        </w:rPr>
        <w:t>Original a</w:t>
      </w:r>
      <w:r w:rsidR="00D0755D" w:rsidRPr="003D01C6">
        <w:rPr>
          <w:rFonts w:ascii="Calibri" w:hAnsi="Calibri"/>
          <w:color w:val="000000" w:themeColor="text1"/>
          <w:sz w:val="16"/>
          <w:szCs w:val="16"/>
        </w:rPr>
        <w:t>pproved Faculty Education Committee</w:t>
      </w:r>
      <w:r w:rsidR="00D0755D" w:rsidRPr="003D01C6">
        <w:rPr>
          <w:rFonts w:asciiTheme="minorHAnsi" w:hAnsiTheme="minorHAnsi" w:cs="Arial"/>
          <w:sz w:val="16"/>
          <w:szCs w:val="16"/>
        </w:rPr>
        <w:t xml:space="preserve"> 10/11/15.</w:t>
      </w:r>
    </w:p>
    <w:p w:rsidR="003D01C6" w:rsidRPr="003D01C6" w:rsidRDefault="003D01C6" w:rsidP="00AE095A">
      <w:pPr>
        <w:pStyle w:val="ListParagraph"/>
        <w:spacing w:after="0"/>
        <w:ind w:left="0"/>
        <w:rPr>
          <w:rFonts w:asciiTheme="minorHAnsi" w:hAnsiTheme="minorHAnsi" w:cs="Arial"/>
          <w:sz w:val="16"/>
          <w:szCs w:val="16"/>
          <w:u w:val="single"/>
        </w:rPr>
        <w:sectPr w:rsidR="003D01C6" w:rsidRPr="003D01C6" w:rsidSect="003B0DB3">
          <w:footerReference w:type="default" r:id="rId16"/>
          <w:pgSz w:w="16838" w:h="11906" w:orient="landscape"/>
          <w:pgMar w:top="1304" w:right="1440" w:bottom="1440" w:left="1304" w:header="709" w:footer="709" w:gutter="0"/>
          <w:cols w:space="708"/>
          <w:docGrid w:linePitch="360"/>
        </w:sectPr>
      </w:pPr>
    </w:p>
    <w:p w:rsidR="00AE095A" w:rsidRDefault="00AE095A" w:rsidP="00AE095A">
      <w:pPr>
        <w:rPr>
          <w:rFonts w:ascii="Arial" w:hAnsi="Arial" w:cs="Arial"/>
          <w:b/>
          <w:bCs/>
          <w:szCs w:val="24"/>
        </w:rPr>
      </w:pPr>
      <w:r>
        <w:rPr>
          <w:rFonts w:ascii="Arial" w:hAnsi="Arial" w:cs="Arial"/>
          <w:b/>
          <w:bCs/>
          <w:szCs w:val="24"/>
        </w:rPr>
        <w:lastRenderedPageBreak/>
        <w:t>Appendix: Teaching, Learning and Assessment</w:t>
      </w:r>
    </w:p>
    <w:p w:rsidR="00AE095A" w:rsidRPr="00765E70" w:rsidRDefault="00AE095A" w:rsidP="00AE095A">
      <w:pPr>
        <w:rPr>
          <w:rFonts w:ascii="Arial" w:hAnsi="Arial" w:cs="Arial"/>
          <w:b/>
          <w:bCs/>
          <w:szCs w:val="24"/>
        </w:rPr>
      </w:pPr>
      <w:r w:rsidRPr="00765E70">
        <w:rPr>
          <w:rFonts w:ascii="Arial" w:hAnsi="Arial" w:cs="Arial"/>
          <w:b/>
          <w:bCs/>
          <w:szCs w:val="24"/>
        </w:rPr>
        <w:t>The Teaching and Learning Academy</w:t>
      </w:r>
    </w:p>
    <w:p w:rsidR="00AE095A" w:rsidRPr="00765E70" w:rsidRDefault="00AE095A" w:rsidP="00AE095A">
      <w:pPr>
        <w:rPr>
          <w:rFonts w:ascii="Arial" w:hAnsi="Arial" w:cs="Arial"/>
          <w:szCs w:val="24"/>
        </w:rPr>
      </w:pPr>
      <w:r w:rsidRPr="00765E70">
        <w:rPr>
          <w:rFonts w:ascii="Arial" w:hAnsi="Arial" w:cs="Arial"/>
          <w:szCs w:val="24"/>
        </w:rPr>
        <w:t>Formally launched at the Teaching and Learning Conference 2015, the Teaching and Learning Academy has provided a focus for pedagogic practice across the institution in 2014-15.  Its impact can be measured in the growth of the academic community and the strengthening of the University’s national teaching and learning profile</w:t>
      </w:r>
      <w:r>
        <w:rPr>
          <w:rFonts w:ascii="Arial" w:hAnsi="Arial" w:cs="Arial"/>
          <w:szCs w:val="24"/>
        </w:rPr>
        <w:t>.</w:t>
      </w:r>
      <w:r w:rsidRPr="00765E70">
        <w:rPr>
          <w:rFonts w:ascii="Arial" w:hAnsi="Arial" w:cs="Arial"/>
          <w:szCs w:val="24"/>
        </w:rPr>
        <w:t xml:space="preserve">  Attendance at </w:t>
      </w:r>
      <w:r>
        <w:rPr>
          <w:rFonts w:ascii="Arial" w:hAnsi="Arial" w:cs="Arial"/>
          <w:szCs w:val="24"/>
        </w:rPr>
        <w:t>I</w:t>
      </w:r>
      <w:r w:rsidRPr="00765E70">
        <w:rPr>
          <w:rFonts w:ascii="Arial" w:hAnsi="Arial" w:cs="Arial"/>
          <w:szCs w:val="24"/>
        </w:rPr>
        <w:t xml:space="preserve">nstitutional dissemination events </w:t>
      </w:r>
      <w:r>
        <w:rPr>
          <w:rFonts w:ascii="Arial" w:hAnsi="Arial" w:cs="Arial"/>
          <w:szCs w:val="24"/>
        </w:rPr>
        <w:t xml:space="preserve">has </w:t>
      </w:r>
      <w:r w:rsidRPr="00765E70">
        <w:rPr>
          <w:rFonts w:ascii="Arial" w:hAnsi="Arial" w:cs="Arial"/>
          <w:szCs w:val="24"/>
        </w:rPr>
        <w:t>increased significantly</w:t>
      </w:r>
      <w:r>
        <w:rPr>
          <w:rFonts w:ascii="Arial" w:hAnsi="Arial" w:cs="Arial"/>
          <w:szCs w:val="24"/>
        </w:rPr>
        <w:t>, with a wide cross-section of staff from both Academic and Professional Services attending the events</w:t>
      </w:r>
      <w:r w:rsidRPr="00765E70">
        <w:rPr>
          <w:rFonts w:ascii="Arial" w:hAnsi="Arial" w:cs="Arial"/>
          <w:szCs w:val="24"/>
        </w:rPr>
        <w:t xml:space="preserve">. </w:t>
      </w:r>
      <w:r>
        <w:rPr>
          <w:rFonts w:ascii="Arial" w:hAnsi="Arial" w:cs="Arial"/>
          <w:szCs w:val="24"/>
        </w:rPr>
        <w:t xml:space="preserve"> </w:t>
      </w:r>
      <w:r w:rsidRPr="00765E70">
        <w:rPr>
          <w:rFonts w:ascii="Arial" w:hAnsi="Arial" w:cs="Arial"/>
          <w:szCs w:val="24"/>
        </w:rPr>
        <w:t xml:space="preserve">Over 450 delegates participated in the annual </w:t>
      </w:r>
      <w:r>
        <w:rPr>
          <w:rFonts w:ascii="Arial" w:hAnsi="Arial" w:cs="Arial"/>
          <w:szCs w:val="24"/>
        </w:rPr>
        <w:t>Teaching and Learning C</w:t>
      </w:r>
      <w:r w:rsidRPr="00765E70">
        <w:rPr>
          <w:rFonts w:ascii="Arial" w:hAnsi="Arial" w:cs="Arial"/>
          <w:szCs w:val="24"/>
        </w:rPr>
        <w:t xml:space="preserve">onference and the </w:t>
      </w:r>
      <w:r>
        <w:rPr>
          <w:rFonts w:ascii="Arial" w:hAnsi="Arial" w:cs="Arial"/>
          <w:szCs w:val="24"/>
        </w:rPr>
        <w:t xml:space="preserve">monthly </w:t>
      </w:r>
      <w:r w:rsidRPr="00765E70">
        <w:rPr>
          <w:rFonts w:ascii="Arial" w:hAnsi="Arial" w:cs="Arial"/>
          <w:szCs w:val="24"/>
        </w:rPr>
        <w:t>Research and Practice Seminar Series recorded 155 attendances.  Two National Teaching Fellowships were awarded</w:t>
      </w:r>
      <w:r>
        <w:rPr>
          <w:rFonts w:ascii="Arial" w:hAnsi="Arial" w:cs="Arial"/>
          <w:szCs w:val="24"/>
        </w:rPr>
        <w:t xml:space="preserve"> in 2015</w:t>
      </w:r>
      <w:r w:rsidRPr="00765E70">
        <w:rPr>
          <w:rFonts w:ascii="Arial" w:hAnsi="Arial" w:cs="Arial"/>
          <w:szCs w:val="24"/>
        </w:rPr>
        <w:t>, the first double achievement for the institution since the scheme was announced.  The Academy also supported the investment of over £250</w:t>
      </w:r>
      <w:r>
        <w:rPr>
          <w:rFonts w:ascii="Arial" w:hAnsi="Arial" w:cs="Arial"/>
          <w:szCs w:val="24"/>
        </w:rPr>
        <w:t>k</w:t>
      </w:r>
      <w:r w:rsidRPr="00765E70">
        <w:rPr>
          <w:rFonts w:ascii="Arial" w:hAnsi="Arial" w:cs="Arial"/>
          <w:szCs w:val="24"/>
        </w:rPr>
        <w:t xml:space="preserve"> in programme-level curriculum enhancement projects and internships.</w:t>
      </w:r>
      <w:r>
        <w:rPr>
          <w:rFonts w:ascii="Arial" w:hAnsi="Arial" w:cs="Arial"/>
          <w:szCs w:val="24"/>
        </w:rPr>
        <w:t xml:space="preserve"> </w:t>
      </w:r>
      <w:r w:rsidRPr="00765E70">
        <w:rPr>
          <w:rFonts w:ascii="Arial" w:hAnsi="Arial" w:cs="Arial"/>
          <w:szCs w:val="24"/>
        </w:rPr>
        <w:t xml:space="preserve"> Involving over 50 LJMU students from across the institution this funding supported the development of 38 curriculum interventions.  Externally, the academy was successful in bidding for two nationally funded projects</w:t>
      </w:r>
      <w:r>
        <w:rPr>
          <w:rFonts w:ascii="Arial" w:hAnsi="Arial" w:cs="Arial"/>
          <w:szCs w:val="24"/>
        </w:rPr>
        <w:t>:</w:t>
      </w:r>
      <w:r w:rsidRPr="00765E70">
        <w:rPr>
          <w:rFonts w:ascii="Arial" w:hAnsi="Arial" w:cs="Arial"/>
          <w:szCs w:val="24"/>
        </w:rPr>
        <w:t xml:space="preserve"> </w:t>
      </w:r>
      <w:r>
        <w:rPr>
          <w:rFonts w:ascii="Arial" w:hAnsi="Arial" w:cs="Arial"/>
          <w:szCs w:val="24"/>
        </w:rPr>
        <w:t xml:space="preserve">(i) </w:t>
      </w:r>
      <w:r w:rsidRPr="00765E70">
        <w:rPr>
          <w:rFonts w:ascii="Arial" w:hAnsi="Arial" w:cs="Arial"/>
          <w:szCs w:val="24"/>
        </w:rPr>
        <w:t>the Higher Education Academy Strategic Excellence Initiative: Harnessing Effective Engagement with Engagement Data</w:t>
      </w:r>
      <w:r>
        <w:rPr>
          <w:rFonts w:ascii="Arial" w:hAnsi="Arial" w:cs="Arial"/>
          <w:szCs w:val="24"/>
        </w:rPr>
        <w:t>;</w:t>
      </w:r>
      <w:r w:rsidRPr="00765E70">
        <w:rPr>
          <w:rFonts w:ascii="Arial" w:hAnsi="Arial" w:cs="Arial"/>
          <w:szCs w:val="24"/>
        </w:rPr>
        <w:t xml:space="preserve"> and </w:t>
      </w:r>
      <w:r>
        <w:rPr>
          <w:rFonts w:ascii="Arial" w:hAnsi="Arial" w:cs="Arial"/>
          <w:szCs w:val="24"/>
        </w:rPr>
        <w:t xml:space="preserve">(ii) </w:t>
      </w:r>
      <w:r w:rsidRPr="00765E70">
        <w:rPr>
          <w:rFonts w:ascii="Arial" w:hAnsi="Arial" w:cs="Arial"/>
          <w:szCs w:val="24"/>
        </w:rPr>
        <w:t>as a collaborative partner in the HEFCE Learning Gain in Higher Education</w:t>
      </w:r>
      <w:r>
        <w:rPr>
          <w:rFonts w:ascii="Arial" w:hAnsi="Arial" w:cs="Arial"/>
          <w:szCs w:val="24"/>
        </w:rPr>
        <w:t xml:space="preserve"> initiative</w:t>
      </w:r>
      <w:r w:rsidRPr="00765E70">
        <w:rPr>
          <w:rFonts w:ascii="Arial" w:hAnsi="Arial" w:cs="Arial"/>
          <w:szCs w:val="24"/>
        </w:rPr>
        <w:t xml:space="preserve">. </w:t>
      </w:r>
    </w:p>
    <w:p w:rsidR="00AE095A" w:rsidRPr="00765E70" w:rsidRDefault="00AE095A" w:rsidP="00AE095A">
      <w:pPr>
        <w:rPr>
          <w:rFonts w:ascii="Arial" w:hAnsi="Arial" w:cs="Arial"/>
          <w:szCs w:val="24"/>
        </w:rPr>
      </w:pPr>
      <w:r w:rsidRPr="00765E70">
        <w:rPr>
          <w:rFonts w:ascii="Arial" w:hAnsi="Arial" w:cs="Arial"/>
          <w:szCs w:val="24"/>
        </w:rPr>
        <w:t xml:space="preserve">The Academy has supported the sharing and adoption of effective academic practice through the development of </w:t>
      </w:r>
      <w:r>
        <w:rPr>
          <w:rFonts w:ascii="Arial" w:hAnsi="Arial" w:cs="Arial"/>
          <w:szCs w:val="24"/>
        </w:rPr>
        <w:t xml:space="preserve">accessible </w:t>
      </w:r>
      <w:r w:rsidRPr="00765E70">
        <w:rPr>
          <w:rFonts w:ascii="Arial" w:hAnsi="Arial" w:cs="Arial"/>
          <w:szCs w:val="24"/>
        </w:rPr>
        <w:t>on line resources.  Designed to encourage the transfer of scholarly practice across the University</w:t>
      </w:r>
      <w:r>
        <w:rPr>
          <w:rFonts w:ascii="Arial" w:hAnsi="Arial" w:cs="Arial"/>
          <w:szCs w:val="24"/>
        </w:rPr>
        <w:t>,</w:t>
      </w:r>
      <w:r w:rsidRPr="00765E70">
        <w:rPr>
          <w:rFonts w:ascii="Arial" w:hAnsi="Arial" w:cs="Arial"/>
          <w:szCs w:val="24"/>
        </w:rPr>
        <w:t xml:space="preserve"> LJM</w:t>
      </w:r>
      <w:r>
        <w:rPr>
          <w:rFonts w:ascii="Arial" w:hAnsi="Arial" w:cs="Arial"/>
          <w:szCs w:val="24"/>
        </w:rPr>
        <w:t xml:space="preserve"> </w:t>
      </w:r>
      <w:r w:rsidRPr="00765E70">
        <w:rPr>
          <w:rFonts w:ascii="Arial" w:hAnsi="Arial" w:cs="Arial"/>
          <w:szCs w:val="24"/>
        </w:rPr>
        <w:t>U</w:t>
      </w:r>
      <w:r>
        <w:rPr>
          <w:rFonts w:ascii="Arial" w:hAnsi="Arial" w:cs="Arial"/>
          <w:szCs w:val="24"/>
        </w:rPr>
        <w:t>-</w:t>
      </w:r>
      <w:r w:rsidRPr="00765E70">
        <w:rPr>
          <w:rFonts w:ascii="Arial" w:hAnsi="Arial" w:cs="Arial"/>
          <w:szCs w:val="24"/>
        </w:rPr>
        <w:t xml:space="preserve">Share </w:t>
      </w:r>
      <w:r>
        <w:rPr>
          <w:rFonts w:ascii="Arial" w:hAnsi="Arial" w:cs="Arial"/>
          <w:szCs w:val="24"/>
        </w:rPr>
        <w:t>(</w:t>
      </w:r>
      <w:hyperlink r:id="rId17" w:history="1">
        <w:r w:rsidRPr="00765E70">
          <w:rPr>
            <w:rStyle w:val="Hyperlink"/>
            <w:rFonts w:ascii="Arial" w:hAnsi="Arial" w:cs="Arial"/>
            <w:szCs w:val="24"/>
          </w:rPr>
          <w:t>http://tlablog.ljmu.ac.uk/index.php/shop/</w:t>
        </w:r>
      </w:hyperlink>
      <w:r>
        <w:rPr>
          <w:rStyle w:val="Hyperlink"/>
          <w:rFonts w:ascii="Arial" w:hAnsi="Arial" w:cs="Arial"/>
          <w:szCs w:val="24"/>
        </w:rPr>
        <w:t>)</w:t>
      </w:r>
      <w:r w:rsidRPr="00765E70">
        <w:rPr>
          <w:rFonts w:ascii="Arial" w:hAnsi="Arial" w:cs="Arial"/>
          <w:szCs w:val="24"/>
        </w:rPr>
        <w:t xml:space="preserve"> provides staff with direct access to the outcomes of </w:t>
      </w:r>
      <w:r>
        <w:rPr>
          <w:rFonts w:ascii="Arial" w:hAnsi="Arial" w:cs="Arial"/>
          <w:szCs w:val="24"/>
        </w:rPr>
        <w:t>I</w:t>
      </w:r>
      <w:r w:rsidRPr="00765E70">
        <w:rPr>
          <w:rFonts w:ascii="Arial" w:hAnsi="Arial" w:cs="Arial"/>
          <w:szCs w:val="24"/>
        </w:rPr>
        <w:t>nstitutionally-funded curriculum enhancement initiatives and good practice identified through the conference and N</w:t>
      </w:r>
      <w:r>
        <w:rPr>
          <w:rFonts w:ascii="Arial" w:hAnsi="Arial" w:cs="Arial"/>
          <w:szCs w:val="24"/>
        </w:rPr>
        <w:t xml:space="preserve">ational </w:t>
      </w:r>
      <w:r w:rsidRPr="00765E70">
        <w:rPr>
          <w:rFonts w:ascii="Arial" w:hAnsi="Arial" w:cs="Arial"/>
          <w:szCs w:val="24"/>
        </w:rPr>
        <w:t>S</w:t>
      </w:r>
      <w:r>
        <w:rPr>
          <w:rFonts w:ascii="Arial" w:hAnsi="Arial" w:cs="Arial"/>
          <w:szCs w:val="24"/>
        </w:rPr>
        <w:t xml:space="preserve">tudent </w:t>
      </w:r>
      <w:r w:rsidRPr="00765E70">
        <w:rPr>
          <w:rFonts w:ascii="Arial" w:hAnsi="Arial" w:cs="Arial"/>
          <w:szCs w:val="24"/>
        </w:rPr>
        <w:t>S</w:t>
      </w:r>
      <w:r>
        <w:rPr>
          <w:rFonts w:ascii="Arial" w:hAnsi="Arial" w:cs="Arial"/>
          <w:szCs w:val="24"/>
        </w:rPr>
        <w:t>urvey (NSS)</w:t>
      </w:r>
      <w:r w:rsidRPr="00765E70">
        <w:rPr>
          <w:rFonts w:ascii="Arial" w:hAnsi="Arial" w:cs="Arial"/>
          <w:szCs w:val="24"/>
        </w:rPr>
        <w:t xml:space="preserve">.  Open Journal System software has been used to publish the next edition of Innovations in Practice </w:t>
      </w:r>
      <w:hyperlink r:id="rId18" w:history="1">
        <w:r w:rsidRPr="00765E70">
          <w:rPr>
            <w:rStyle w:val="Hyperlink"/>
            <w:rFonts w:ascii="Arial" w:hAnsi="Arial" w:cs="Arial"/>
            <w:szCs w:val="24"/>
          </w:rPr>
          <w:t>http://openjournals.ljmu.ac.uk/iip/index</w:t>
        </w:r>
      </w:hyperlink>
      <w:r w:rsidRPr="00765E70">
        <w:rPr>
          <w:rFonts w:ascii="Arial" w:hAnsi="Arial" w:cs="Arial"/>
          <w:szCs w:val="24"/>
        </w:rPr>
        <w:t xml:space="preserve">.  This approach has been </w:t>
      </w:r>
      <w:r>
        <w:rPr>
          <w:rFonts w:ascii="Arial" w:hAnsi="Arial" w:cs="Arial"/>
          <w:szCs w:val="24"/>
        </w:rPr>
        <w:t>adopted</w:t>
      </w:r>
      <w:r w:rsidRPr="00765E70">
        <w:rPr>
          <w:rFonts w:ascii="Arial" w:hAnsi="Arial" w:cs="Arial"/>
          <w:szCs w:val="24"/>
        </w:rPr>
        <w:t xml:space="preserve"> to ensure wider external dissemination </w:t>
      </w:r>
      <w:r>
        <w:rPr>
          <w:rFonts w:ascii="Arial" w:hAnsi="Arial" w:cs="Arial"/>
          <w:szCs w:val="24"/>
        </w:rPr>
        <w:t xml:space="preserve">in order to </w:t>
      </w:r>
      <w:r w:rsidRPr="00765E70">
        <w:rPr>
          <w:rFonts w:ascii="Arial" w:hAnsi="Arial" w:cs="Arial"/>
          <w:szCs w:val="24"/>
        </w:rPr>
        <w:t xml:space="preserve">build the national reputation of the Teaching and Learning Academy.  Social networks have also helped strengthen the Academy’s presence within and outside the University and include a regular blog, </w:t>
      </w:r>
      <w:r>
        <w:rPr>
          <w:rFonts w:ascii="Arial" w:hAnsi="Arial" w:cs="Arial"/>
          <w:szCs w:val="24"/>
        </w:rPr>
        <w:t xml:space="preserve">and </w:t>
      </w:r>
      <w:r w:rsidRPr="00765E70">
        <w:rPr>
          <w:rFonts w:ascii="Arial" w:hAnsi="Arial" w:cs="Arial"/>
          <w:szCs w:val="24"/>
        </w:rPr>
        <w:t xml:space="preserve">an established twitter presence.  </w:t>
      </w:r>
    </w:p>
    <w:p w:rsidR="00AE095A" w:rsidRPr="00765E70" w:rsidRDefault="00AE095A" w:rsidP="00AE095A">
      <w:pPr>
        <w:rPr>
          <w:rFonts w:ascii="Arial" w:hAnsi="Arial" w:cs="Arial"/>
          <w:szCs w:val="24"/>
        </w:rPr>
      </w:pPr>
      <w:r w:rsidRPr="00765E70">
        <w:rPr>
          <w:rFonts w:ascii="Arial" w:hAnsi="Arial" w:cs="Arial"/>
          <w:szCs w:val="24"/>
        </w:rPr>
        <w:t xml:space="preserve">Excellence in teaching and learning is supported, rewarded and recognised through the Teaching and Learning Academy.  The Academy delivers accredited teaching courses across the institution.  In 2014-15 the </w:t>
      </w:r>
      <w:r>
        <w:rPr>
          <w:rFonts w:ascii="Arial" w:hAnsi="Arial" w:cs="Arial"/>
          <w:szCs w:val="24"/>
        </w:rPr>
        <w:t xml:space="preserve">3is </w:t>
      </w:r>
      <w:r w:rsidRPr="00765E70">
        <w:rPr>
          <w:rFonts w:ascii="Arial" w:hAnsi="Arial" w:cs="Arial"/>
          <w:szCs w:val="24"/>
        </w:rPr>
        <w:t>programme for PGRs who teach became compulsory</w:t>
      </w:r>
      <w:r>
        <w:rPr>
          <w:rFonts w:ascii="Arial" w:hAnsi="Arial" w:cs="Arial"/>
          <w:szCs w:val="24"/>
        </w:rPr>
        <w:t>,</w:t>
      </w:r>
      <w:r w:rsidRPr="00765E70">
        <w:rPr>
          <w:rFonts w:ascii="Arial" w:hAnsi="Arial" w:cs="Arial"/>
          <w:szCs w:val="24"/>
        </w:rPr>
        <w:t xml:space="preserve"> and the PGCertLTHE was delivered at the University’s partner college Kolej Teknologi YPC in Malaysia.  Professional recognition is promoted through the Higher Education Academy Professional Standards Framework. </w:t>
      </w:r>
      <w:r>
        <w:rPr>
          <w:rFonts w:ascii="Arial" w:hAnsi="Arial" w:cs="Arial"/>
          <w:szCs w:val="24"/>
        </w:rPr>
        <w:t xml:space="preserve"> </w:t>
      </w:r>
      <w:r w:rsidRPr="00765E70">
        <w:rPr>
          <w:rFonts w:ascii="Arial" w:hAnsi="Arial" w:cs="Arial"/>
          <w:szCs w:val="24"/>
        </w:rPr>
        <w:t xml:space="preserve">This has been strengthened with the implementation of a new dialogue route for experienced staff. </w:t>
      </w:r>
      <w:r>
        <w:rPr>
          <w:rFonts w:ascii="Arial" w:hAnsi="Arial" w:cs="Arial"/>
          <w:szCs w:val="24"/>
        </w:rPr>
        <w:t xml:space="preserve"> </w:t>
      </w:r>
      <w:r w:rsidRPr="00765E70">
        <w:rPr>
          <w:rFonts w:ascii="Arial" w:hAnsi="Arial" w:cs="Arial"/>
          <w:szCs w:val="24"/>
        </w:rPr>
        <w:t>Ten individual and team teaching excellence awards were granted</w:t>
      </w:r>
      <w:r>
        <w:rPr>
          <w:rFonts w:ascii="Arial" w:hAnsi="Arial" w:cs="Arial"/>
          <w:szCs w:val="24"/>
        </w:rPr>
        <w:t>,</w:t>
      </w:r>
      <w:r w:rsidRPr="00765E70">
        <w:rPr>
          <w:rFonts w:ascii="Arial" w:hAnsi="Arial" w:cs="Arial"/>
          <w:szCs w:val="24"/>
        </w:rPr>
        <w:t xml:space="preserve"> and a recipient of the Vice-Chancellor’s Awards for Excellence in Teaching Innovation in 2013-14 was one of the two members of staff to be receive </w:t>
      </w:r>
      <w:r>
        <w:rPr>
          <w:rFonts w:ascii="Arial" w:hAnsi="Arial" w:cs="Arial"/>
          <w:szCs w:val="24"/>
        </w:rPr>
        <w:t xml:space="preserve">a </w:t>
      </w:r>
      <w:r w:rsidRPr="00765E70">
        <w:rPr>
          <w:rFonts w:ascii="Arial" w:hAnsi="Arial" w:cs="Arial"/>
          <w:szCs w:val="24"/>
        </w:rPr>
        <w:t>National Teaching Fellowship in 2015.</w:t>
      </w:r>
    </w:p>
    <w:p w:rsidR="00AE095A" w:rsidRDefault="00AE095A" w:rsidP="00AE095A">
      <w:pPr>
        <w:rPr>
          <w:rFonts w:ascii="Arial" w:hAnsi="Arial" w:cs="Arial"/>
          <w:b/>
          <w:szCs w:val="24"/>
        </w:rPr>
      </w:pPr>
    </w:p>
    <w:p w:rsidR="00AE095A" w:rsidRPr="00765E70" w:rsidRDefault="00AE095A" w:rsidP="00AE095A">
      <w:pPr>
        <w:rPr>
          <w:rFonts w:ascii="Arial" w:hAnsi="Arial" w:cs="Arial"/>
          <w:b/>
          <w:szCs w:val="24"/>
        </w:rPr>
      </w:pPr>
      <w:r w:rsidRPr="00765E70">
        <w:rPr>
          <w:rFonts w:ascii="Arial" w:hAnsi="Arial" w:cs="Arial"/>
          <w:b/>
          <w:szCs w:val="24"/>
        </w:rPr>
        <w:lastRenderedPageBreak/>
        <w:t xml:space="preserve">Retention </w:t>
      </w:r>
    </w:p>
    <w:p w:rsidR="00AE095A" w:rsidRPr="00765E70" w:rsidRDefault="00AE095A" w:rsidP="00AE095A">
      <w:pPr>
        <w:rPr>
          <w:rFonts w:ascii="Arial" w:hAnsi="Arial" w:cs="Arial"/>
          <w:szCs w:val="24"/>
        </w:rPr>
      </w:pPr>
      <w:r w:rsidRPr="00765E70">
        <w:rPr>
          <w:rFonts w:ascii="Arial" w:hAnsi="Arial" w:cs="Arial"/>
          <w:szCs w:val="24"/>
        </w:rPr>
        <w:t xml:space="preserve">Analysis of longitudinal retention data indicates that in 2014-15 student withdrawal increased significantly with almost half of students leaving as a consequence of </w:t>
      </w:r>
      <w:r>
        <w:rPr>
          <w:rFonts w:ascii="Arial" w:hAnsi="Arial" w:cs="Arial"/>
          <w:szCs w:val="24"/>
        </w:rPr>
        <w:t>‘A</w:t>
      </w:r>
      <w:r w:rsidRPr="00765E70">
        <w:rPr>
          <w:rFonts w:ascii="Arial" w:hAnsi="Arial" w:cs="Arial"/>
          <w:szCs w:val="24"/>
        </w:rPr>
        <w:t xml:space="preserve">cademic </w:t>
      </w:r>
      <w:r>
        <w:rPr>
          <w:rFonts w:ascii="Arial" w:hAnsi="Arial" w:cs="Arial"/>
          <w:szCs w:val="24"/>
        </w:rPr>
        <w:t>F</w:t>
      </w:r>
      <w:r w:rsidRPr="00765E70">
        <w:rPr>
          <w:rFonts w:ascii="Arial" w:hAnsi="Arial" w:cs="Arial"/>
          <w:szCs w:val="24"/>
        </w:rPr>
        <w:t>ailure</w:t>
      </w:r>
      <w:r>
        <w:rPr>
          <w:rFonts w:ascii="Arial" w:hAnsi="Arial" w:cs="Arial"/>
          <w:szCs w:val="24"/>
        </w:rPr>
        <w:t>’</w:t>
      </w:r>
      <w:r>
        <w:rPr>
          <w:rStyle w:val="FootnoteReference"/>
          <w:rFonts w:ascii="Arial" w:hAnsi="Arial" w:cs="Arial"/>
          <w:szCs w:val="24"/>
        </w:rPr>
        <w:footnoteReference w:id="1"/>
      </w:r>
      <w:r w:rsidRPr="00765E70">
        <w:rPr>
          <w:rFonts w:ascii="Arial" w:hAnsi="Arial" w:cs="Arial"/>
          <w:szCs w:val="24"/>
        </w:rPr>
        <w:t xml:space="preserve">. </w:t>
      </w:r>
      <w:r>
        <w:rPr>
          <w:rFonts w:ascii="Arial" w:hAnsi="Arial" w:cs="Arial"/>
          <w:szCs w:val="24"/>
        </w:rPr>
        <w:t xml:space="preserve"> </w:t>
      </w:r>
      <w:r w:rsidRPr="00765E70">
        <w:rPr>
          <w:rFonts w:ascii="Arial" w:hAnsi="Arial" w:cs="Arial"/>
          <w:szCs w:val="24"/>
        </w:rPr>
        <w:t xml:space="preserve">Whilst a higher proportion of students were recruited through clearing in 2013-14 </w:t>
      </w:r>
      <w:r>
        <w:rPr>
          <w:rFonts w:ascii="Arial" w:hAnsi="Arial" w:cs="Arial"/>
          <w:szCs w:val="24"/>
        </w:rPr>
        <w:t xml:space="preserve">than the previous year, </w:t>
      </w:r>
      <w:r w:rsidRPr="00765E70">
        <w:rPr>
          <w:rFonts w:ascii="Arial" w:hAnsi="Arial" w:cs="Arial"/>
          <w:szCs w:val="24"/>
        </w:rPr>
        <w:t xml:space="preserve">trend analysis has shown that the </w:t>
      </w:r>
      <w:r>
        <w:rPr>
          <w:rFonts w:ascii="Arial" w:hAnsi="Arial" w:cs="Arial"/>
          <w:szCs w:val="24"/>
        </w:rPr>
        <w:t>decrease</w:t>
      </w:r>
      <w:r w:rsidRPr="00765E70">
        <w:rPr>
          <w:rFonts w:ascii="Arial" w:hAnsi="Arial" w:cs="Arial"/>
          <w:szCs w:val="24"/>
        </w:rPr>
        <w:t xml:space="preserve"> in student </w:t>
      </w:r>
      <w:r>
        <w:rPr>
          <w:rFonts w:ascii="Arial" w:hAnsi="Arial" w:cs="Arial"/>
          <w:szCs w:val="24"/>
        </w:rPr>
        <w:t>retention</w:t>
      </w:r>
      <w:r w:rsidRPr="00765E70">
        <w:rPr>
          <w:rFonts w:ascii="Arial" w:hAnsi="Arial" w:cs="Arial"/>
          <w:szCs w:val="24"/>
        </w:rPr>
        <w:t xml:space="preserve"> is not directly related to </w:t>
      </w:r>
      <w:r>
        <w:rPr>
          <w:rFonts w:ascii="Arial" w:hAnsi="Arial" w:cs="Arial"/>
          <w:szCs w:val="24"/>
        </w:rPr>
        <w:t>a</w:t>
      </w:r>
      <w:r w:rsidRPr="00765E70">
        <w:rPr>
          <w:rFonts w:ascii="Arial" w:hAnsi="Arial" w:cs="Arial"/>
          <w:szCs w:val="24"/>
        </w:rPr>
        <w:t xml:space="preserve"> ‘clearing factor’.  Furthermore</w:t>
      </w:r>
      <w:r>
        <w:rPr>
          <w:rFonts w:ascii="Arial" w:hAnsi="Arial" w:cs="Arial"/>
          <w:szCs w:val="24"/>
        </w:rPr>
        <w:t>,</w:t>
      </w:r>
      <w:r w:rsidRPr="00765E70">
        <w:rPr>
          <w:rFonts w:ascii="Arial" w:hAnsi="Arial" w:cs="Arial"/>
          <w:szCs w:val="24"/>
        </w:rPr>
        <w:t xml:space="preserve"> the pattern of retention across the institution is uneven suggesting that issues </w:t>
      </w:r>
      <w:r>
        <w:rPr>
          <w:rFonts w:ascii="Arial" w:hAnsi="Arial" w:cs="Arial"/>
          <w:szCs w:val="24"/>
        </w:rPr>
        <w:t>may be</w:t>
      </w:r>
      <w:r w:rsidRPr="00765E70">
        <w:rPr>
          <w:rFonts w:ascii="Arial" w:hAnsi="Arial" w:cs="Arial"/>
          <w:szCs w:val="24"/>
        </w:rPr>
        <w:t xml:space="preserve"> at School/programme level rather than a consequence of external pressures, for example the increase in tuition fees. </w:t>
      </w:r>
    </w:p>
    <w:p w:rsidR="00AE095A" w:rsidRPr="00765E70" w:rsidRDefault="00AE095A" w:rsidP="00AE095A">
      <w:pPr>
        <w:rPr>
          <w:rFonts w:ascii="Arial" w:hAnsi="Arial" w:cs="Arial"/>
          <w:szCs w:val="24"/>
        </w:rPr>
      </w:pPr>
      <w:r w:rsidRPr="00765E70">
        <w:rPr>
          <w:rFonts w:ascii="Arial" w:hAnsi="Arial" w:cs="Arial"/>
          <w:szCs w:val="24"/>
        </w:rPr>
        <w:t xml:space="preserve">In order to manage and improve retention rates new </w:t>
      </w:r>
      <w:r>
        <w:rPr>
          <w:rFonts w:ascii="Arial" w:hAnsi="Arial" w:cs="Arial"/>
          <w:szCs w:val="24"/>
        </w:rPr>
        <w:t>I</w:t>
      </w:r>
      <w:r w:rsidRPr="00765E70">
        <w:rPr>
          <w:rFonts w:ascii="Arial" w:hAnsi="Arial" w:cs="Arial"/>
          <w:szCs w:val="24"/>
        </w:rPr>
        <w:t xml:space="preserve">nstitutional reporting tools have been introduced through WebHub. </w:t>
      </w:r>
      <w:r>
        <w:rPr>
          <w:rFonts w:ascii="Arial" w:hAnsi="Arial" w:cs="Arial"/>
          <w:szCs w:val="24"/>
        </w:rPr>
        <w:t xml:space="preserve"> </w:t>
      </w:r>
      <w:r w:rsidRPr="00765E70">
        <w:rPr>
          <w:rFonts w:ascii="Arial" w:hAnsi="Arial" w:cs="Arial"/>
          <w:szCs w:val="24"/>
        </w:rPr>
        <w:t>This is to enable academic managers to monitor withdrawal in real time and intervene, as appropriate, to ensure that our students are actively suppo</w:t>
      </w:r>
      <w:r>
        <w:rPr>
          <w:rFonts w:ascii="Arial" w:hAnsi="Arial" w:cs="Arial"/>
          <w:szCs w:val="24"/>
        </w:rPr>
        <w:t>r</w:t>
      </w:r>
      <w:r w:rsidRPr="00765E70">
        <w:rPr>
          <w:rFonts w:ascii="Arial" w:hAnsi="Arial" w:cs="Arial"/>
          <w:szCs w:val="24"/>
        </w:rPr>
        <w:t xml:space="preserve">ted throughout their programme of study.  </w:t>
      </w:r>
    </w:p>
    <w:p w:rsidR="00AE095A" w:rsidRPr="00765E70" w:rsidRDefault="00AE095A" w:rsidP="00AE095A">
      <w:pPr>
        <w:rPr>
          <w:rFonts w:ascii="Arial" w:hAnsi="Arial" w:cs="Arial"/>
          <w:szCs w:val="24"/>
        </w:rPr>
      </w:pPr>
      <w:r w:rsidRPr="00765E70">
        <w:rPr>
          <w:rFonts w:ascii="Arial" w:hAnsi="Arial" w:cs="Arial"/>
          <w:szCs w:val="24"/>
        </w:rPr>
        <w:t xml:space="preserve">School Directors are required to develop </w:t>
      </w:r>
      <w:r>
        <w:rPr>
          <w:rFonts w:ascii="Arial" w:hAnsi="Arial" w:cs="Arial"/>
          <w:szCs w:val="24"/>
        </w:rPr>
        <w:t>S</w:t>
      </w:r>
      <w:r w:rsidRPr="00765E70">
        <w:rPr>
          <w:rFonts w:ascii="Arial" w:hAnsi="Arial" w:cs="Arial"/>
          <w:szCs w:val="24"/>
        </w:rPr>
        <w:t>chool/</w:t>
      </w:r>
      <w:r>
        <w:rPr>
          <w:rFonts w:ascii="Arial" w:hAnsi="Arial" w:cs="Arial"/>
          <w:szCs w:val="24"/>
        </w:rPr>
        <w:t>P</w:t>
      </w:r>
      <w:r w:rsidRPr="00765E70">
        <w:rPr>
          <w:rFonts w:ascii="Arial" w:hAnsi="Arial" w:cs="Arial"/>
          <w:szCs w:val="24"/>
        </w:rPr>
        <w:t xml:space="preserve">rogramme level </w:t>
      </w:r>
      <w:r>
        <w:rPr>
          <w:rFonts w:ascii="Arial" w:hAnsi="Arial" w:cs="Arial"/>
          <w:szCs w:val="24"/>
        </w:rPr>
        <w:t>R</w:t>
      </w:r>
      <w:r w:rsidRPr="00765E70">
        <w:rPr>
          <w:rFonts w:ascii="Arial" w:hAnsi="Arial" w:cs="Arial"/>
          <w:szCs w:val="24"/>
        </w:rPr>
        <w:t xml:space="preserve">etention </w:t>
      </w:r>
      <w:r>
        <w:rPr>
          <w:rFonts w:ascii="Arial" w:hAnsi="Arial" w:cs="Arial"/>
          <w:szCs w:val="24"/>
        </w:rPr>
        <w:t>A</w:t>
      </w:r>
      <w:r w:rsidRPr="00765E70">
        <w:rPr>
          <w:rFonts w:ascii="Arial" w:hAnsi="Arial" w:cs="Arial"/>
          <w:szCs w:val="24"/>
        </w:rPr>
        <w:t xml:space="preserve">ction </w:t>
      </w:r>
      <w:r>
        <w:rPr>
          <w:rFonts w:ascii="Arial" w:hAnsi="Arial" w:cs="Arial"/>
          <w:szCs w:val="24"/>
        </w:rPr>
        <w:t>P</w:t>
      </w:r>
      <w:r w:rsidRPr="00765E70">
        <w:rPr>
          <w:rFonts w:ascii="Arial" w:hAnsi="Arial" w:cs="Arial"/>
          <w:szCs w:val="24"/>
        </w:rPr>
        <w:t>lans that identify interventions at the module/programme level for retention improvement.  Endorsed by Faculty Management Teams</w:t>
      </w:r>
      <w:r>
        <w:rPr>
          <w:rFonts w:ascii="Arial" w:hAnsi="Arial" w:cs="Arial"/>
          <w:szCs w:val="24"/>
        </w:rPr>
        <w:t>,</w:t>
      </w:r>
      <w:r w:rsidRPr="00765E70">
        <w:rPr>
          <w:rFonts w:ascii="Arial" w:hAnsi="Arial" w:cs="Arial"/>
          <w:szCs w:val="24"/>
        </w:rPr>
        <w:t xml:space="preserve"> action plans will be approved by Education Committee in February 2016. </w:t>
      </w:r>
    </w:p>
    <w:p w:rsidR="00AE095A" w:rsidRPr="00765E70" w:rsidRDefault="00AE095A" w:rsidP="00AE095A">
      <w:pPr>
        <w:rPr>
          <w:rFonts w:ascii="Arial" w:hAnsi="Arial" w:cs="Arial"/>
          <w:b/>
          <w:bCs/>
          <w:szCs w:val="24"/>
        </w:rPr>
      </w:pPr>
    </w:p>
    <w:p w:rsidR="00AE095A" w:rsidRPr="00765E70" w:rsidRDefault="00AE095A" w:rsidP="00AE095A">
      <w:pPr>
        <w:rPr>
          <w:rFonts w:ascii="Arial" w:hAnsi="Arial" w:cs="Arial"/>
          <w:b/>
          <w:bCs/>
          <w:szCs w:val="24"/>
        </w:rPr>
      </w:pPr>
      <w:r w:rsidRPr="00765E70">
        <w:rPr>
          <w:rFonts w:ascii="Arial" w:hAnsi="Arial" w:cs="Arial"/>
          <w:b/>
          <w:bCs/>
          <w:szCs w:val="24"/>
        </w:rPr>
        <w:t xml:space="preserve">National Student Survey: School Director’s Reports and Investment Fund </w:t>
      </w:r>
    </w:p>
    <w:p w:rsidR="00AE095A" w:rsidRPr="00765E70" w:rsidRDefault="00AE095A" w:rsidP="00AE095A">
      <w:pPr>
        <w:rPr>
          <w:rFonts w:ascii="Arial" w:hAnsi="Arial" w:cs="Arial"/>
          <w:bCs/>
          <w:szCs w:val="24"/>
        </w:rPr>
      </w:pPr>
      <w:r w:rsidRPr="00765E70">
        <w:rPr>
          <w:rFonts w:ascii="Arial" w:hAnsi="Arial" w:cs="Arial"/>
          <w:bCs/>
          <w:szCs w:val="24"/>
        </w:rPr>
        <w:t xml:space="preserve">School Director’s Reports and Programme Level NSS Action Plans were introduced in 2014-15.  Reports identify programmes that exemplify consistent or emerging good practice and areas for improvement. </w:t>
      </w:r>
      <w:r>
        <w:rPr>
          <w:rFonts w:ascii="Arial" w:hAnsi="Arial" w:cs="Arial"/>
          <w:bCs/>
          <w:szCs w:val="24"/>
        </w:rPr>
        <w:t xml:space="preserve"> </w:t>
      </w:r>
      <w:r w:rsidRPr="00765E70">
        <w:rPr>
          <w:rFonts w:ascii="Arial" w:hAnsi="Arial" w:cs="Arial"/>
          <w:bCs/>
          <w:szCs w:val="24"/>
        </w:rPr>
        <w:t xml:space="preserve">Good practice programmes identified in NSS 2015 are shown in the table </w:t>
      </w:r>
      <w:r>
        <w:rPr>
          <w:rFonts w:ascii="Arial" w:hAnsi="Arial" w:cs="Arial"/>
          <w:bCs/>
          <w:szCs w:val="24"/>
        </w:rPr>
        <w:t xml:space="preserve">immediately </w:t>
      </w:r>
      <w:r w:rsidRPr="00765E70">
        <w:rPr>
          <w:rFonts w:ascii="Arial" w:hAnsi="Arial" w:cs="Arial"/>
          <w:bCs/>
          <w:szCs w:val="24"/>
        </w:rPr>
        <w:t xml:space="preserve">below. </w:t>
      </w:r>
      <w:r>
        <w:rPr>
          <w:rFonts w:ascii="Arial" w:hAnsi="Arial" w:cs="Arial"/>
          <w:bCs/>
          <w:szCs w:val="24"/>
        </w:rPr>
        <w:t xml:space="preserve"> </w:t>
      </w:r>
      <w:r w:rsidRPr="00765E70">
        <w:rPr>
          <w:rFonts w:ascii="Arial" w:hAnsi="Arial" w:cs="Arial"/>
          <w:bCs/>
          <w:szCs w:val="24"/>
        </w:rPr>
        <w:t>School level interventions are determined for NSS Scales with low satisfaction levels.</w:t>
      </w:r>
      <w:r>
        <w:rPr>
          <w:rFonts w:ascii="Arial" w:hAnsi="Arial" w:cs="Arial"/>
          <w:bCs/>
          <w:szCs w:val="24"/>
        </w:rPr>
        <w:t xml:space="preserve"> </w:t>
      </w:r>
      <w:r w:rsidRPr="00765E70">
        <w:rPr>
          <w:rFonts w:ascii="Arial" w:hAnsi="Arial" w:cs="Arial"/>
          <w:bCs/>
          <w:szCs w:val="24"/>
        </w:rPr>
        <w:t xml:space="preserve"> In the context of enhancement</w:t>
      </w:r>
      <w:r>
        <w:rPr>
          <w:rFonts w:ascii="Arial" w:hAnsi="Arial" w:cs="Arial"/>
          <w:bCs/>
          <w:szCs w:val="24"/>
        </w:rPr>
        <w:t>,</w:t>
      </w:r>
      <w:r w:rsidRPr="00765E70">
        <w:rPr>
          <w:rFonts w:ascii="Arial" w:hAnsi="Arial" w:cs="Arial"/>
          <w:bCs/>
          <w:szCs w:val="24"/>
        </w:rPr>
        <w:t xml:space="preserve"> School Directors describe barriers to improving overall School performance and explain their personal commitment/approach to the School’s academic development. </w:t>
      </w:r>
    </w:p>
    <w:p w:rsidR="00AE095A" w:rsidRPr="00765E70" w:rsidRDefault="00AE095A" w:rsidP="00AE095A">
      <w:pPr>
        <w:rPr>
          <w:rFonts w:ascii="Arial" w:hAnsi="Arial" w:cs="Arial"/>
          <w:szCs w:val="24"/>
          <w:lang w:val="en-US"/>
        </w:rPr>
      </w:pPr>
      <w:r w:rsidRPr="00765E70">
        <w:rPr>
          <w:rFonts w:ascii="Arial" w:hAnsi="Arial" w:cs="Arial"/>
          <w:bCs/>
          <w:szCs w:val="24"/>
        </w:rPr>
        <w:t xml:space="preserve">In order to </w:t>
      </w:r>
      <w:r>
        <w:rPr>
          <w:rFonts w:ascii="Arial" w:hAnsi="Arial" w:cs="Arial"/>
          <w:bCs/>
          <w:szCs w:val="24"/>
        </w:rPr>
        <w:t>support</w:t>
      </w:r>
      <w:r w:rsidRPr="00765E70">
        <w:rPr>
          <w:rFonts w:ascii="Arial" w:hAnsi="Arial" w:cs="Arial"/>
          <w:bCs/>
          <w:szCs w:val="24"/>
        </w:rPr>
        <w:t xml:space="preserve"> these reports an NSS </w:t>
      </w:r>
      <w:r>
        <w:rPr>
          <w:rFonts w:ascii="Arial" w:hAnsi="Arial" w:cs="Arial"/>
          <w:bCs/>
          <w:szCs w:val="24"/>
        </w:rPr>
        <w:t>I</w:t>
      </w:r>
      <w:r w:rsidRPr="00765E70">
        <w:rPr>
          <w:rFonts w:ascii="Arial" w:hAnsi="Arial" w:cs="Arial"/>
          <w:bCs/>
          <w:szCs w:val="24"/>
        </w:rPr>
        <w:t xml:space="preserve">nvestment </w:t>
      </w:r>
      <w:r>
        <w:rPr>
          <w:rFonts w:ascii="Arial" w:hAnsi="Arial" w:cs="Arial"/>
          <w:bCs/>
          <w:szCs w:val="24"/>
        </w:rPr>
        <w:t>F</w:t>
      </w:r>
      <w:r w:rsidRPr="00765E70">
        <w:rPr>
          <w:rFonts w:ascii="Arial" w:hAnsi="Arial" w:cs="Arial"/>
          <w:bCs/>
          <w:szCs w:val="24"/>
        </w:rPr>
        <w:t xml:space="preserve">und has been established. </w:t>
      </w:r>
      <w:r>
        <w:rPr>
          <w:rFonts w:ascii="Arial" w:hAnsi="Arial" w:cs="Arial"/>
          <w:bCs/>
          <w:szCs w:val="24"/>
        </w:rPr>
        <w:t xml:space="preserve"> </w:t>
      </w:r>
      <w:r w:rsidRPr="00765E70">
        <w:rPr>
          <w:rFonts w:ascii="Arial" w:hAnsi="Arial" w:cs="Arial"/>
          <w:bCs/>
          <w:szCs w:val="24"/>
        </w:rPr>
        <w:t>The purpose of this financial support is to enable Schools to</w:t>
      </w:r>
      <w:r w:rsidRPr="00765E70">
        <w:rPr>
          <w:rFonts w:ascii="Arial" w:hAnsi="Arial" w:cs="Arial"/>
          <w:szCs w:val="24"/>
          <w:lang w:val="en-US"/>
        </w:rPr>
        <w:t xml:space="preserve"> overcome the enhancement barriers and move the relevant NSS scores form the current to the target position. </w:t>
      </w:r>
      <w:r>
        <w:rPr>
          <w:rFonts w:ascii="Arial" w:hAnsi="Arial" w:cs="Arial"/>
          <w:szCs w:val="24"/>
          <w:lang w:val="en-US"/>
        </w:rPr>
        <w:t xml:space="preserve"> </w:t>
      </w:r>
      <w:r w:rsidRPr="00765E70">
        <w:rPr>
          <w:rFonts w:ascii="Arial" w:hAnsi="Arial" w:cs="Arial"/>
          <w:szCs w:val="24"/>
          <w:lang w:val="en-US"/>
        </w:rPr>
        <w:t xml:space="preserve">Faculty Deans, Dean of the Business School, and School Directors/Department Heads are invited to make investment bids of up to </w:t>
      </w:r>
      <w:r w:rsidRPr="00765E70">
        <w:rPr>
          <w:rFonts w:ascii="Arial" w:hAnsi="Arial" w:cs="Arial"/>
          <w:bCs/>
          <w:szCs w:val="24"/>
          <w:lang w:val="en-US"/>
        </w:rPr>
        <w:t>£25k</w:t>
      </w:r>
      <w:r w:rsidRPr="00765E70">
        <w:rPr>
          <w:rFonts w:ascii="Arial" w:hAnsi="Arial" w:cs="Arial"/>
          <w:szCs w:val="24"/>
          <w:lang w:val="en-US"/>
        </w:rPr>
        <w:t xml:space="preserve"> specifically linked to NSS Improvement targets. </w:t>
      </w:r>
    </w:p>
    <w:p w:rsidR="00AE095A" w:rsidRPr="00765E70" w:rsidRDefault="00AE095A" w:rsidP="00AE095A">
      <w:pPr>
        <w:rPr>
          <w:rFonts w:ascii="Arial" w:hAnsi="Arial" w:cs="Arial"/>
          <w:szCs w:val="24"/>
          <w:lang w:val="en-US"/>
        </w:rPr>
      </w:pPr>
      <w:r w:rsidRPr="00765E70">
        <w:rPr>
          <w:rFonts w:ascii="Arial" w:hAnsi="Arial" w:cs="Arial"/>
          <w:szCs w:val="24"/>
          <w:lang w:val="en-US"/>
        </w:rPr>
        <w:t>Examples of potential investment bids:</w:t>
      </w:r>
    </w:p>
    <w:p w:rsidR="00AE095A" w:rsidRPr="00765E70" w:rsidRDefault="00AE095A" w:rsidP="00AE095A">
      <w:pPr>
        <w:numPr>
          <w:ilvl w:val="0"/>
          <w:numId w:val="33"/>
        </w:numPr>
        <w:spacing w:after="0" w:line="240" w:lineRule="auto"/>
        <w:rPr>
          <w:rFonts w:ascii="Arial" w:hAnsi="Arial" w:cs="Arial"/>
          <w:szCs w:val="24"/>
          <w:lang w:val="en-US"/>
        </w:rPr>
      </w:pPr>
      <w:r w:rsidRPr="00765E70">
        <w:rPr>
          <w:rFonts w:ascii="Arial" w:hAnsi="Arial" w:cs="Arial"/>
          <w:szCs w:val="24"/>
          <w:lang w:val="en-US"/>
        </w:rPr>
        <w:t>Augmentation/upgrading of local computing facilities, including printing facilities;</w:t>
      </w:r>
    </w:p>
    <w:p w:rsidR="00AE095A" w:rsidRPr="00765E70" w:rsidRDefault="00AE095A" w:rsidP="00AE095A">
      <w:pPr>
        <w:numPr>
          <w:ilvl w:val="0"/>
          <w:numId w:val="33"/>
        </w:numPr>
        <w:spacing w:after="0" w:line="240" w:lineRule="auto"/>
        <w:rPr>
          <w:rFonts w:ascii="Arial" w:hAnsi="Arial" w:cs="Arial"/>
          <w:szCs w:val="24"/>
          <w:lang w:val="en-US"/>
        </w:rPr>
      </w:pPr>
      <w:r w:rsidRPr="00765E70">
        <w:rPr>
          <w:rFonts w:ascii="Arial" w:hAnsi="Arial" w:cs="Arial"/>
          <w:szCs w:val="24"/>
          <w:lang w:val="en-US"/>
        </w:rPr>
        <w:t>Refurbishment/improvement of communal facilities to enhance a general school sense of “belonging”;</w:t>
      </w:r>
    </w:p>
    <w:p w:rsidR="00AE095A" w:rsidRPr="00765E70" w:rsidRDefault="00AE095A" w:rsidP="00AE095A">
      <w:pPr>
        <w:numPr>
          <w:ilvl w:val="0"/>
          <w:numId w:val="33"/>
        </w:numPr>
        <w:spacing w:after="0" w:line="240" w:lineRule="auto"/>
        <w:rPr>
          <w:rFonts w:ascii="Arial" w:hAnsi="Arial" w:cs="Arial"/>
          <w:szCs w:val="24"/>
          <w:lang w:val="en-US"/>
        </w:rPr>
      </w:pPr>
      <w:r w:rsidRPr="00765E70">
        <w:rPr>
          <w:rFonts w:ascii="Arial" w:hAnsi="Arial" w:cs="Arial"/>
          <w:szCs w:val="24"/>
          <w:lang w:val="en-US"/>
        </w:rPr>
        <w:t>General teaching equipment purchases;</w:t>
      </w:r>
    </w:p>
    <w:p w:rsidR="00AE095A" w:rsidRPr="00765E70" w:rsidRDefault="00AE095A" w:rsidP="00AE095A">
      <w:pPr>
        <w:numPr>
          <w:ilvl w:val="0"/>
          <w:numId w:val="33"/>
        </w:numPr>
        <w:spacing w:after="0" w:line="240" w:lineRule="auto"/>
        <w:rPr>
          <w:rFonts w:ascii="Arial" w:hAnsi="Arial" w:cs="Arial"/>
          <w:szCs w:val="24"/>
          <w:lang w:val="en-US"/>
        </w:rPr>
      </w:pPr>
      <w:r w:rsidRPr="00765E70">
        <w:rPr>
          <w:rFonts w:ascii="Arial" w:hAnsi="Arial" w:cs="Arial"/>
          <w:szCs w:val="24"/>
          <w:lang w:val="en-US"/>
        </w:rPr>
        <w:t>Laboratory equipment purchase/up-grades; and</w:t>
      </w:r>
    </w:p>
    <w:p w:rsidR="00AE095A" w:rsidRPr="000B63B7" w:rsidRDefault="00AE095A" w:rsidP="00AE095A">
      <w:pPr>
        <w:numPr>
          <w:ilvl w:val="0"/>
          <w:numId w:val="33"/>
        </w:numPr>
        <w:spacing w:after="160" w:line="259" w:lineRule="auto"/>
        <w:rPr>
          <w:rFonts w:ascii="Arial" w:hAnsi="Arial" w:cs="Arial"/>
          <w:b/>
          <w:szCs w:val="24"/>
          <w:lang w:val="en-US"/>
        </w:rPr>
      </w:pPr>
      <w:r w:rsidRPr="000B63B7">
        <w:rPr>
          <w:rFonts w:ascii="Arial" w:hAnsi="Arial" w:cs="Arial"/>
          <w:szCs w:val="24"/>
          <w:lang w:val="en-US"/>
        </w:rPr>
        <w:t>Teaching facilities upgrade.</w:t>
      </w:r>
    </w:p>
    <w:p w:rsidR="00AE095A" w:rsidRPr="00765E70" w:rsidRDefault="00AE095A" w:rsidP="00AE095A">
      <w:pPr>
        <w:rPr>
          <w:rFonts w:ascii="Arial" w:hAnsi="Arial" w:cs="Arial"/>
          <w:b/>
          <w:szCs w:val="24"/>
          <w:lang w:val="en-US"/>
        </w:rPr>
      </w:pPr>
      <w:r>
        <w:rPr>
          <w:rFonts w:ascii="Arial" w:hAnsi="Arial" w:cs="Arial"/>
          <w:b/>
          <w:szCs w:val="24"/>
          <w:lang w:val="en-US"/>
        </w:rPr>
        <w:lastRenderedPageBreak/>
        <w:t xml:space="preserve">Table 1 </w:t>
      </w:r>
      <w:r w:rsidRPr="00765E70">
        <w:rPr>
          <w:rFonts w:ascii="Arial" w:hAnsi="Arial" w:cs="Arial"/>
          <w:b/>
          <w:szCs w:val="24"/>
          <w:lang w:val="en-US"/>
        </w:rPr>
        <w:t>NSS Good Practice Programmes 2015</w:t>
      </w:r>
    </w:p>
    <w:tbl>
      <w:tblPr>
        <w:tblStyle w:val="TableGrid"/>
        <w:tblW w:w="0" w:type="auto"/>
        <w:tblLook w:val="04A0" w:firstRow="1" w:lastRow="0" w:firstColumn="1" w:lastColumn="0" w:noHBand="0" w:noVBand="1"/>
      </w:tblPr>
      <w:tblGrid>
        <w:gridCol w:w="4508"/>
        <w:gridCol w:w="4508"/>
      </w:tblGrid>
      <w:tr w:rsidR="00AE095A" w:rsidRPr="00765E70" w:rsidTr="001B5462">
        <w:tc>
          <w:tcPr>
            <w:tcW w:w="9016" w:type="dxa"/>
            <w:gridSpan w:val="2"/>
            <w:shd w:val="clear" w:color="auto" w:fill="D9D9D9" w:themeFill="background1" w:themeFillShade="D9"/>
          </w:tcPr>
          <w:p w:rsidR="00AE095A" w:rsidRPr="00765E70" w:rsidRDefault="00AE095A" w:rsidP="001B5462">
            <w:pPr>
              <w:jc w:val="center"/>
              <w:rPr>
                <w:rFonts w:ascii="Arial" w:hAnsi="Arial" w:cs="Arial"/>
                <w:b/>
                <w:szCs w:val="24"/>
              </w:rPr>
            </w:pPr>
            <w:r w:rsidRPr="00765E70">
              <w:rPr>
                <w:rFonts w:ascii="Arial" w:hAnsi="Arial" w:cs="Arial"/>
                <w:b/>
                <w:szCs w:val="24"/>
              </w:rPr>
              <w:t>Faculty of Arts, Professional and Social Studies</w:t>
            </w:r>
          </w:p>
        </w:tc>
      </w:tr>
      <w:tr w:rsidR="00AE095A" w:rsidRPr="00765E70" w:rsidTr="001B5462">
        <w:tc>
          <w:tcPr>
            <w:tcW w:w="4508" w:type="dxa"/>
          </w:tcPr>
          <w:p w:rsidR="00AE095A" w:rsidRPr="00765E70" w:rsidRDefault="00AE095A" w:rsidP="001B5462">
            <w:pPr>
              <w:rPr>
                <w:rFonts w:ascii="Arial" w:hAnsi="Arial" w:cs="Arial"/>
                <w:szCs w:val="24"/>
              </w:rPr>
            </w:pPr>
            <w:r w:rsidRPr="00765E70">
              <w:rPr>
                <w:rFonts w:ascii="Arial" w:hAnsi="Arial" w:cs="Arial"/>
                <w:szCs w:val="24"/>
              </w:rPr>
              <w:t>Liverpool School of Art and Design</w:t>
            </w:r>
          </w:p>
        </w:tc>
        <w:tc>
          <w:tcPr>
            <w:tcW w:w="4508" w:type="dxa"/>
          </w:tcPr>
          <w:p w:rsidR="00AE095A" w:rsidRPr="00765E70" w:rsidRDefault="00AE095A" w:rsidP="001B5462">
            <w:pPr>
              <w:rPr>
                <w:rFonts w:ascii="Arial" w:hAnsi="Arial" w:cs="Arial"/>
                <w:szCs w:val="24"/>
              </w:rPr>
            </w:pPr>
            <w:r w:rsidRPr="00765E70">
              <w:rPr>
                <w:rFonts w:ascii="Arial" w:hAnsi="Arial" w:cs="Arial"/>
                <w:szCs w:val="24"/>
              </w:rPr>
              <w:t>Architecture</w:t>
            </w:r>
          </w:p>
          <w:p w:rsidR="00AE095A" w:rsidRPr="00765E70" w:rsidRDefault="00AE095A" w:rsidP="001B5462">
            <w:pPr>
              <w:rPr>
                <w:rFonts w:ascii="Arial" w:hAnsi="Arial" w:cs="Arial"/>
                <w:szCs w:val="24"/>
              </w:rPr>
            </w:pPr>
            <w:r w:rsidRPr="00765E70">
              <w:rPr>
                <w:rFonts w:ascii="Arial" w:hAnsi="Arial" w:cs="Arial"/>
                <w:szCs w:val="24"/>
              </w:rPr>
              <w:t xml:space="preserve">Fashion </w:t>
            </w:r>
          </w:p>
        </w:tc>
      </w:tr>
      <w:tr w:rsidR="00AE095A" w:rsidRPr="00765E70" w:rsidTr="001B5462">
        <w:tc>
          <w:tcPr>
            <w:tcW w:w="4508" w:type="dxa"/>
          </w:tcPr>
          <w:p w:rsidR="00AE095A" w:rsidRPr="00765E70" w:rsidRDefault="00AE095A" w:rsidP="001B5462">
            <w:pPr>
              <w:rPr>
                <w:rFonts w:ascii="Arial" w:hAnsi="Arial" w:cs="Arial"/>
                <w:szCs w:val="24"/>
              </w:rPr>
            </w:pPr>
            <w:r w:rsidRPr="00765E70">
              <w:rPr>
                <w:rFonts w:ascii="Arial" w:hAnsi="Arial" w:cs="Arial"/>
                <w:szCs w:val="24"/>
              </w:rPr>
              <w:t>Liverpool Business School</w:t>
            </w:r>
          </w:p>
        </w:tc>
        <w:tc>
          <w:tcPr>
            <w:tcW w:w="4508" w:type="dxa"/>
          </w:tcPr>
          <w:p w:rsidR="00AE095A" w:rsidRPr="00765E70" w:rsidRDefault="00AE095A" w:rsidP="001B5462">
            <w:pPr>
              <w:rPr>
                <w:rFonts w:ascii="Arial" w:hAnsi="Arial" w:cs="Arial"/>
                <w:szCs w:val="24"/>
              </w:rPr>
            </w:pPr>
            <w:r w:rsidRPr="00765E70">
              <w:rPr>
                <w:rFonts w:ascii="Arial" w:hAnsi="Arial" w:cs="Arial"/>
                <w:szCs w:val="24"/>
              </w:rPr>
              <w:t xml:space="preserve">Human Resource Management </w:t>
            </w:r>
          </w:p>
          <w:p w:rsidR="00AE095A" w:rsidRPr="00765E70" w:rsidRDefault="00AE095A" w:rsidP="001B5462">
            <w:pPr>
              <w:rPr>
                <w:rFonts w:ascii="Arial" w:hAnsi="Arial" w:cs="Arial"/>
                <w:szCs w:val="24"/>
              </w:rPr>
            </w:pPr>
            <w:r w:rsidRPr="00765E70">
              <w:rPr>
                <w:rFonts w:ascii="Arial" w:hAnsi="Arial" w:cs="Arial"/>
                <w:szCs w:val="24"/>
              </w:rPr>
              <w:t>Business and Public Relations</w:t>
            </w:r>
          </w:p>
          <w:p w:rsidR="00AE095A" w:rsidRPr="00765E70" w:rsidRDefault="00AE095A" w:rsidP="001B5462">
            <w:pPr>
              <w:rPr>
                <w:rFonts w:ascii="Arial" w:hAnsi="Arial" w:cs="Arial"/>
                <w:szCs w:val="24"/>
              </w:rPr>
            </w:pPr>
            <w:r w:rsidRPr="00765E70">
              <w:rPr>
                <w:rFonts w:ascii="Arial" w:hAnsi="Arial" w:cs="Arial"/>
                <w:szCs w:val="24"/>
              </w:rPr>
              <w:t>Marketing.</w:t>
            </w:r>
          </w:p>
        </w:tc>
      </w:tr>
      <w:tr w:rsidR="00AE095A" w:rsidRPr="00765E70" w:rsidTr="001B5462">
        <w:tc>
          <w:tcPr>
            <w:tcW w:w="4508" w:type="dxa"/>
          </w:tcPr>
          <w:p w:rsidR="00AE095A" w:rsidRPr="00765E70" w:rsidRDefault="00AE095A" w:rsidP="001B5462">
            <w:pPr>
              <w:rPr>
                <w:rFonts w:ascii="Arial" w:hAnsi="Arial" w:cs="Arial"/>
                <w:szCs w:val="24"/>
              </w:rPr>
            </w:pPr>
            <w:r w:rsidRPr="00765E70">
              <w:rPr>
                <w:rFonts w:ascii="Arial" w:hAnsi="Arial" w:cs="Arial"/>
                <w:szCs w:val="24"/>
              </w:rPr>
              <w:t>Liverpool Screen School</w:t>
            </w:r>
          </w:p>
        </w:tc>
        <w:tc>
          <w:tcPr>
            <w:tcW w:w="4508" w:type="dxa"/>
          </w:tcPr>
          <w:p w:rsidR="00AE095A" w:rsidRPr="00765E70" w:rsidRDefault="00AE095A" w:rsidP="001B5462">
            <w:pPr>
              <w:rPr>
                <w:rFonts w:ascii="Arial" w:hAnsi="Arial" w:cs="Arial"/>
                <w:szCs w:val="24"/>
              </w:rPr>
            </w:pPr>
            <w:r w:rsidRPr="00765E70">
              <w:rPr>
                <w:rFonts w:ascii="Arial" w:hAnsi="Arial" w:cs="Arial"/>
                <w:szCs w:val="24"/>
              </w:rPr>
              <w:t>Drama</w:t>
            </w:r>
          </w:p>
        </w:tc>
      </w:tr>
      <w:tr w:rsidR="00AE095A" w:rsidRPr="00765E70" w:rsidTr="001B5462">
        <w:tc>
          <w:tcPr>
            <w:tcW w:w="4508" w:type="dxa"/>
          </w:tcPr>
          <w:p w:rsidR="00AE095A" w:rsidRPr="00765E70" w:rsidRDefault="00AE095A" w:rsidP="001B5462">
            <w:pPr>
              <w:rPr>
                <w:rFonts w:ascii="Arial" w:hAnsi="Arial" w:cs="Arial"/>
                <w:szCs w:val="24"/>
              </w:rPr>
            </w:pPr>
            <w:r w:rsidRPr="00765E70">
              <w:rPr>
                <w:rFonts w:ascii="Arial" w:hAnsi="Arial" w:cs="Arial"/>
                <w:szCs w:val="24"/>
              </w:rPr>
              <w:t>School of Humanities and Social Science</w:t>
            </w:r>
          </w:p>
        </w:tc>
        <w:tc>
          <w:tcPr>
            <w:tcW w:w="4508" w:type="dxa"/>
          </w:tcPr>
          <w:p w:rsidR="00AE095A" w:rsidRPr="00765E70" w:rsidRDefault="00AE095A" w:rsidP="001B5462">
            <w:pPr>
              <w:rPr>
                <w:rFonts w:ascii="Arial" w:hAnsi="Arial" w:cs="Arial"/>
                <w:szCs w:val="24"/>
              </w:rPr>
            </w:pPr>
            <w:r w:rsidRPr="00765E70">
              <w:rPr>
                <w:rFonts w:ascii="Arial" w:hAnsi="Arial" w:cs="Arial"/>
                <w:szCs w:val="24"/>
              </w:rPr>
              <w:t>English</w:t>
            </w:r>
          </w:p>
          <w:p w:rsidR="00AE095A" w:rsidRPr="00765E70" w:rsidRDefault="00AE095A" w:rsidP="001B5462">
            <w:pPr>
              <w:rPr>
                <w:rFonts w:ascii="Arial" w:hAnsi="Arial" w:cs="Arial"/>
                <w:szCs w:val="24"/>
              </w:rPr>
            </w:pPr>
            <w:r w:rsidRPr="00765E70">
              <w:rPr>
                <w:rFonts w:ascii="Arial" w:hAnsi="Arial" w:cs="Arial"/>
                <w:szCs w:val="24"/>
              </w:rPr>
              <w:t>Criminology</w:t>
            </w:r>
          </w:p>
        </w:tc>
      </w:tr>
      <w:tr w:rsidR="00AE095A" w:rsidRPr="00765E70" w:rsidTr="001B5462">
        <w:tc>
          <w:tcPr>
            <w:tcW w:w="4508" w:type="dxa"/>
          </w:tcPr>
          <w:p w:rsidR="00AE095A" w:rsidRPr="00765E70" w:rsidRDefault="00AE095A" w:rsidP="001B5462">
            <w:pPr>
              <w:rPr>
                <w:rFonts w:ascii="Arial" w:hAnsi="Arial" w:cs="Arial"/>
                <w:szCs w:val="24"/>
              </w:rPr>
            </w:pPr>
            <w:r w:rsidRPr="00765E70">
              <w:rPr>
                <w:rFonts w:ascii="Arial" w:hAnsi="Arial" w:cs="Arial"/>
                <w:szCs w:val="24"/>
              </w:rPr>
              <w:t>School of Law</w:t>
            </w:r>
          </w:p>
        </w:tc>
        <w:tc>
          <w:tcPr>
            <w:tcW w:w="4508" w:type="dxa"/>
          </w:tcPr>
          <w:p w:rsidR="00AE095A" w:rsidRPr="00765E70" w:rsidRDefault="00AE095A" w:rsidP="001B5462">
            <w:pPr>
              <w:rPr>
                <w:rFonts w:ascii="Arial" w:hAnsi="Arial" w:cs="Arial"/>
                <w:szCs w:val="24"/>
              </w:rPr>
            </w:pPr>
            <w:r w:rsidRPr="00765E70">
              <w:rPr>
                <w:rFonts w:ascii="Arial" w:hAnsi="Arial" w:cs="Arial"/>
                <w:szCs w:val="24"/>
              </w:rPr>
              <w:t>Criminal Justice</w:t>
            </w:r>
          </w:p>
        </w:tc>
      </w:tr>
      <w:tr w:rsidR="00AE095A" w:rsidRPr="00765E70" w:rsidTr="001B5462">
        <w:tc>
          <w:tcPr>
            <w:tcW w:w="9016" w:type="dxa"/>
            <w:gridSpan w:val="2"/>
            <w:shd w:val="clear" w:color="auto" w:fill="D9D9D9" w:themeFill="background1" w:themeFillShade="D9"/>
          </w:tcPr>
          <w:p w:rsidR="00AE095A" w:rsidRPr="00765E70" w:rsidRDefault="00AE095A" w:rsidP="001B5462">
            <w:pPr>
              <w:jc w:val="center"/>
              <w:rPr>
                <w:rFonts w:ascii="Arial" w:hAnsi="Arial" w:cs="Arial"/>
                <w:b/>
                <w:szCs w:val="24"/>
              </w:rPr>
            </w:pPr>
            <w:r w:rsidRPr="00765E70">
              <w:rPr>
                <w:rFonts w:ascii="Arial" w:hAnsi="Arial" w:cs="Arial"/>
                <w:b/>
                <w:szCs w:val="24"/>
              </w:rPr>
              <w:t>Faculty of Education, Health and Community</w:t>
            </w:r>
          </w:p>
        </w:tc>
      </w:tr>
      <w:tr w:rsidR="00AE095A" w:rsidRPr="00765E70" w:rsidTr="001B5462">
        <w:tc>
          <w:tcPr>
            <w:tcW w:w="4508" w:type="dxa"/>
          </w:tcPr>
          <w:p w:rsidR="00AE095A" w:rsidRPr="00765E70" w:rsidRDefault="00AE095A" w:rsidP="001B5462">
            <w:pPr>
              <w:rPr>
                <w:rFonts w:ascii="Arial" w:hAnsi="Arial" w:cs="Arial"/>
                <w:szCs w:val="24"/>
              </w:rPr>
            </w:pPr>
            <w:r w:rsidRPr="00765E70">
              <w:rPr>
                <w:rFonts w:ascii="Arial" w:hAnsi="Arial" w:cs="Arial"/>
                <w:szCs w:val="24"/>
              </w:rPr>
              <w:t>School of Education</w:t>
            </w:r>
          </w:p>
        </w:tc>
        <w:tc>
          <w:tcPr>
            <w:tcW w:w="4508" w:type="dxa"/>
          </w:tcPr>
          <w:p w:rsidR="00AE095A" w:rsidRPr="00765E70" w:rsidRDefault="00AE095A" w:rsidP="001B5462">
            <w:pPr>
              <w:rPr>
                <w:rFonts w:ascii="Arial" w:hAnsi="Arial" w:cs="Arial"/>
                <w:szCs w:val="24"/>
              </w:rPr>
            </w:pPr>
            <w:r w:rsidRPr="00765E70">
              <w:rPr>
                <w:rFonts w:ascii="Arial" w:hAnsi="Arial" w:cs="Arial"/>
                <w:szCs w:val="24"/>
              </w:rPr>
              <w:t>Education Studies and Early Years</w:t>
            </w:r>
          </w:p>
          <w:p w:rsidR="00AE095A" w:rsidRPr="00765E70" w:rsidRDefault="00AE095A" w:rsidP="001B5462">
            <w:pPr>
              <w:rPr>
                <w:rFonts w:ascii="Arial" w:hAnsi="Arial" w:cs="Arial"/>
                <w:szCs w:val="24"/>
              </w:rPr>
            </w:pPr>
            <w:r w:rsidRPr="00765E70">
              <w:rPr>
                <w:rFonts w:ascii="Arial" w:hAnsi="Arial" w:cs="Arial"/>
                <w:szCs w:val="24"/>
              </w:rPr>
              <w:t>Learning Development and Sport</w:t>
            </w:r>
          </w:p>
        </w:tc>
      </w:tr>
      <w:tr w:rsidR="00AE095A" w:rsidRPr="00765E70" w:rsidTr="001B5462">
        <w:trPr>
          <w:trHeight w:val="560"/>
        </w:trPr>
        <w:tc>
          <w:tcPr>
            <w:tcW w:w="4508" w:type="dxa"/>
          </w:tcPr>
          <w:p w:rsidR="00AE095A" w:rsidRPr="00765E70" w:rsidRDefault="00AE095A" w:rsidP="001B5462">
            <w:pPr>
              <w:rPr>
                <w:rFonts w:ascii="Arial" w:hAnsi="Arial" w:cs="Arial"/>
                <w:szCs w:val="24"/>
              </w:rPr>
            </w:pPr>
            <w:r w:rsidRPr="00765E70">
              <w:rPr>
                <w:rFonts w:ascii="Arial" w:hAnsi="Arial" w:cs="Arial"/>
                <w:szCs w:val="24"/>
              </w:rPr>
              <w:t>School of Nursing and Allied Health</w:t>
            </w:r>
          </w:p>
        </w:tc>
        <w:tc>
          <w:tcPr>
            <w:tcW w:w="4508" w:type="dxa"/>
          </w:tcPr>
          <w:p w:rsidR="00AE095A" w:rsidRPr="00765E70" w:rsidRDefault="00AE095A" w:rsidP="001B5462">
            <w:pPr>
              <w:rPr>
                <w:rFonts w:ascii="Arial" w:hAnsi="Arial" w:cs="Arial"/>
                <w:szCs w:val="24"/>
              </w:rPr>
            </w:pPr>
            <w:r w:rsidRPr="00765E70">
              <w:rPr>
                <w:rFonts w:ascii="Arial" w:hAnsi="Arial" w:cs="Arial"/>
                <w:szCs w:val="24"/>
              </w:rPr>
              <w:t>Midwifery</w:t>
            </w:r>
          </w:p>
          <w:p w:rsidR="00AE095A" w:rsidRPr="00765E70" w:rsidRDefault="00AE095A" w:rsidP="001B5462">
            <w:pPr>
              <w:rPr>
                <w:rFonts w:ascii="Arial" w:hAnsi="Arial" w:cs="Arial"/>
                <w:szCs w:val="24"/>
              </w:rPr>
            </w:pPr>
            <w:r w:rsidRPr="00765E70">
              <w:rPr>
                <w:rFonts w:ascii="Arial" w:hAnsi="Arial" w:cs="Arial"/>
                <w:szCs w:val="24"/>
              </w:rPr>
              <w:t>Nursing (emergent)</w:t>
            </w:r>
          </w:p>
        </w:tc>
      </w:tr>
      <w:tr w:rsidR="00AE095A" w:rsidRPr="00765E70" w:rsidTr="001B5462">
        <w:tc>
          <w:tcPr>
            <w:tcW w:w="4508" w:type="dxa"/>
          </w:tcPr>
          <w:p w:rsidR="00AE095A" w:rsidRPr="00765E70" w:rsidRDefault="00AE095A" w:rsidP="001B5462">
            <w:pPr>
              <w:rPr>
                <w:rFonts w:ascii="Arial" w:hAnsi="Arial" w:cs="Arial"/>
                <w:szCs w:val="24"/>
              </w:rPr>
            </w:pPr>
            <w:r w:rsidRPr="00765E70">
              <w:rPr>
                <w:rFonts w:ascii="Arial" w:hAnsi="Arial" w:cs="Arial"/>
                <w:szCs w:val="24"/>
              </w:rPr>
              <w:t>Centre for Public Health*</w:t>
            </w:r>
          </w:p>
        </w:tc>
        <w:tc>
          <w:tcPr>
            <w:tcW w:w="4508" w:type="dxa"/>
          </w:tcPr>
          <w:p w:rsidR="00AE095A" w:rsidRPr="00765E70" w:rsidRDefault="00AE095A" w:rsidP="001B5462">
            <w:pPr>
              <w:rPr>
                <w:rFonts w:ascii="Arial" w:hAnsi="Arial" w:cs="Arial"/>
                <w:szCs w:val="24"/>
              </w:rPr>
            </w:pPr>
          </w:p>
        </w:tc>
      </w:tr>
      <w:tr w:rsidR="00AE095A" w:rsidRPr="00765E70" w:rsidTr="001B5462">
        <w:tc>
          <w:tcPr>
            <w:tcW w:w="4508" w:type="dxa"/>
          </w:tcPr>
          <w:p w:rsidR="00AE095A" w:rsidRPr="00765E70" w:rsidRDefault="00AE095A" w:rsidP="001B5462">
            <w:pPr>
              <w:rPr>
                <w:rFonts w:ascii="Arial" w:hAnsi="Arial" w:cs="Arial"/>
                <w:szCs w:val="24"/>
              </w:rPr>
            </w:pPr>
            <w:r w:rsidRPr="00765E70">
              <w:rPr>
                <w:rFonts w:ascii="Arial" w:hAnsi="Arial" w:cs="Arial"/>
                <w:szCs w:val="24"/>
              </w:rPr>
              <w:t>School of Sport Studies, Leisure and Nutrition</w:t>
            </w:r>
          </w:p>
        </w:tc>
        <w:tc>
          <w:tcPr>
            <w:tcW w:w="4508" w:type="dxa"/>
          </w:tcPr>
          <w:p w:rsidR="00AE095A" w:rsidRPr="00765E70" w:rsidRDefault="00AE095A" w:rsidP="001B5462">
            <w:pPr>
              <w:rPr>
                <w:rFonts w:ascii="Arial" w:hAnsi="Arial" w:cs="Arial"/>
                <w:szCs w:val="24"/>
              </w:rPr>
            </w:pPr>
            <w:r w:rsidRPr="00765E70">
              <w:rPr>
                <w:rFonts w:ascii="Arial" w:hAnsi="Arial" w:cs="Arial"/>
                <w:szCs w:val="24"/>
              </w:rPr>
              <w:t>Dance Practices</w:t>
            </w:r>
          </w:p>
          <w:p w:rsidR="00AE095A" w:rsidRPr="00765E70" w:rsidRDefault="00AE095A" w:rsidP="001B5462">
            <w:pPr>
              <w:rPr>
                <w:rFonts w:ascii="Arial" w:hAnsi="Arial" w:cs="Arial"/>
                <w:szCs w:val="24"/>
              </w:rPr>
            </w:pPr>
            <w:r w:rsidRPr="00765E70">
              <w:rPr>
                <w:rFonts w:ascii="Arial" w:hAnsi="Arial" w:cs="Arial"/>
                <w:szCs w:val="24"/>
              </w:rPr>
              <w:t>Coaching Development</w:t>
            </w:r>
          </w:p>
          <w:p w:rsidR="00AE095A" w:rsidRPr="00765E70" w:rsidRDefault="00AE095A" w:rsidP="001B5462">
            <w:pPr>
              <w:rPr>
                <w:rFonts w:ascii="Arial" w:hAnsi="Arial" w:cs="Arial"/>
                <w:szCs w:val="24"/>
              </w:rPr>
            </w:pPr>
            <w:r w:rsidRPr="00765E70">
              <w:rPr>
                <w:rFonts w:ascii="Arial" w:hAnsi="Arial" w:cs="Arial"/>
                <w:szCs w:val="24"/>
              </w:rPr>
              <w:t>Events Management (emergent)</w:t>
            </w:r>
          </w:p>
        </w:tc>
      </w:tr>
      <w:tr w:rsidR="00AE095A" w:rsidRPr="00765E70" w:rsidTr="001B5462">
        <w:tc>
          <w:tcPr>
            <w:tcW w:w="9016" w:type="dxa"/>
            <w:gridSpan w:val="2"/>
            <w:shd w:val="clear" w:color="auto" w:fill="D9D9D9" w:themeFill="background1" w:themeFillShade="D9"/>
          </w:tcPr>
          <w:p w:rsidR="00AE095A" w:rsidRPr="00765E70" w:rsidRDefault="00AE095A" w:rsidP="001B5462">
            <w:pPr>
              <w:jc w:val="center"/>
              <w:rPr>
                <w:rFonts w:ascii="Arial" w:hAnsi="Arial" w:cs="Arial"/>
                <w:b/>
                <w:szCs w:val="24"/>
              </w:rPr>
            </w:pPr>
            <w:r w:rsidRPr="00765E70">
              <w:rPr>
                <w:rFonts w:ascii="Arial" w:hAnsi="Arial" w:cs="Arial"/>
                <w:b/>
                <w:szCs w:val="24"/>
              </w:rPr>
              <w:t>Faculty of Engineering and Technology</w:t>
            </w:r>
          </w:p>
        </w:tc>
      </w:tr>
      <w:tr w:rsidR="00AE095A" w:rsidRPr="00765E70" w:rsidTr="001B5462">
        <w:tc>
          <w:tcPr>
            <w:tcW w:w="4508" w:type="dxa"/>
          </w:tcPr>
          <w:p w:rsidR="00AE095A" w:rsidRPr="00765E70" w:rsidRDefault="00AE095A" w:rsidP="001B5462">
            <w:pPr>
              <w:rPr>
                <w:rFonts w:ascii="Arial" w:hAnsi="Arial" w:cs="Arial"/>
                <w:szCs w:val="24"/>
              </w:rPr>
            </w:pPr>
            <w:r w:rsidRPr="00765E70">
              <w:rPr>
                <w:rFonts w:ascii="Arial" w:hAnsi="Arial" w:cs="Arial"/>
                <w:szCs w:val="24"/>
              </w:rPr>
              <w:t>Department of Applied Mathematics*</w:t>
            </w:r>
          </w:p>
        </w:tc>
        <w:tc>
          <w:tcPr>
            <w:tcW w:w="4508" w:type="dxa"/>
          </w:tcPr>
          <w:p w:rsidR="00AE095A" w:rsidRPr="00765E70" w:rsidRDefault="00AE095A" w:rsidP="001B5462">
            <w:pPr>
              <w:rPr>
                <w:rFonts w:ascii="Arial" w:hAnsi="Arial" w:cs="Arial"/>
                <w:szCs w:val="24"/>
              </w:rPr>
            </w:pPr>
            <w:r w:rsidRPr="00765E70">
              <w:rPr>
                <w:rFonts w:ascii="Arial" w:hAnsi="Arial" w:cs="Arial"/>
                <w:szCs w:val="24"/>
              </w:rPr>
              <w:t>Mathematics</w:t>
            </w:r>
          </w:p>
        </w:tc>
      </w:tr>
      <w:tr w:rsidR="00AE095A" w:rsidRPr="00765E70" w:rsidTr="001B5462">
        <w:tc>
          <w:tcPr>
            <w:tcW w:w="4508" w:type="dxa"/>
          </w:tcPr>
          <w:p w:rsidR="00AE095A" w:rsidRPr="00765E70" w:rsidRDefault="00AE095A" w:rsidP="001B5462">
            <w:pPr>
              <w:rPr>
                <w:rFonts w:ascii="Arial" w:hAnsi="Arial" w:cs="Arial"/>
                <w:szCs w:val="24"/>
              </w:rPr>
            </w:pPr>
            <w:r w:rsidRPr="00765E70">
              <w:rPr>
                <w:rFonts w:ascii="Arial" w:hAnsi="Arial" w:cs="Arial"/>
                <w:szCs w:val="24"/>
              </w:rPr>
              <w:t>Department of Built Environment</w:t>
            </w:r>
          </w:p>
        </w:tc>
        <w:tc>
          <w:tcPr>
            <w:tcW w:w="4508" w:type="dxa"/>
          </w:tcPr>
          <w:p w:rsidR="00AE095A" w:rsidRPr="00765E70" w:rsidRDefault="00AE095A" w:rsidP="001B5462">
            <w:pPr>
              <w:rPr>
                <w:rFonts w:ascii="Arial" w:hAnsi="Arial" w:cs="Arial"/>
                <w:szCs w:val="24"/>
              </w:rPr>
            </w:pPr>
            <w:r w:rsidRPr="00765E70">
              <w:rPr>
                <w:rFonts w:ascii="Arial" w:hAnsi="Arial" w:cs="Arial"/>
                <w:szCs w:val="24"/>
              </w:rPr>
              <w:t>Building Surveying</w:t>
            </w:r>
          </w:p>
          <w:p w:rsidR="00AE095A" w:rsidRPr="00765E70" w:rsidRDefault="00AE095A" w:rsidP="001B5462">
            <w:pPr>
              <w:rPr>
                <w:rFonts w:ascii="Arial" w:hAnsi="Arial" w:cs="Arial"/>
                <w:szCs w:val="24"/>
              </w:rPr>
            </w:pPr>
            <w:r w:rsidRPr="00765E70">
              <w:rPr>
                <w:rFonts w:ascii="Arial" w:hAnsi="Arial" w:cs="Arial"/>
                <w:szCs w:val="24"/>
              </w:rPr>
              <w:t>Construction Management</w:t>
            </w:r>
          </w:p>
          <w:p w:rsidR="00AE095A" w:rsidRPr="00765E70" w:rsidRDefault="00AE095A" w:rsidP="001B5462">
            <w:pPr>
              <w:rPr>
                <w:rFonts w:ascii="Arial" w:hAnsi="Arial" w:cs="Arial"/>
                <w:szCs w:val="24"/>
              </w:rPr>
            </w:pPr>
            <w:r w:rsidRPr="00765E70">
              <w:rPr>
                <w:rFonts w:ascii="Arial" w:hAnsi="Arial" w:cs="Arial"/>
                <w:szCs w:val="24"/>
              </w:rPr>
              <w:t>Quantity Surveying</w:t>
            </w:r>
          </w:p>
          <w:p w:rsidR="00AE095A" w:rsidRPr="00765E70" w:rsidRDefault="00AE095A" w:rsidP="001B5462">
            <w:pPr>
              <w:rPr>
                <w:rFonts w:ascii="Arial" w:hAnsi="Arial" w:cs="Arial"/>
                <w:szCs w:val="24"/>
              </w:rPr>
            </w:pPr>
            <w:r w:rsidRPr="00765E70">
              <w:rPr>
                <w:rFonts w:ascii="Arial" w:hAnsi="Arial" w:cs="Arial"/>
                <w:szCs w:val="24"/>
              </w:rPr>
              <w:t>Real Estate Mange met and Business</w:t>
            </w:r>
          </w:p>
        </w:tc>
      </w:tr>
      <w:tr w:rsidR="00AE095A" w:rsidRPr="00765E70" w:rsidTr="001B5462">
        <w:tc>
          <w:tcPr>
            <w:tcW w:w="4508" w:type="dxa"/>
          </w:tcPr>
          <w:p w:rsidR="00AE095A" w:rsidRPr="00765E70" w:rsidRDefault="00AE095A" w:rsidP="001B5462">
            <w:pPr>
              <w:rPr>
                <w:rFonts w:ascii="Arial" w:hAnsi="Arial" w:cs="Arial"/>
                <w:szCs w:val="24"/>
              </w:rPr>
            </w:pPr>
            <w:r w:rsidRPr="00765E70">
              <w:rPr>
                <w:rFonts w:ascii="Arial" w:hAnsi="Arial" w:cs="Arial"/>
                <w:szCs w:val="24"/>
              </w:rPr>
              <w:t>Department of Civil Engineering*</w:t>
            </w:r>
          </w:p>
        </w:tc>
        <w:tc>
          <w:tcPr>
            <w:tcW w:w="4508" w:type="dxa"/>
          </w:tcPr>
          <w:p w:rsidR="00AE095A" w:rsidRPr="00765E70" w:rsidRDefault="00AE095A" w:rsidP="001B5462">
            <w:pPr>
              <w:rPr>
                <w:rFonts w:ascii="Arial" w:hAnsi="Arial" w:cs="Arial"/>
                <w:szCs w:val="24"/>
              </w:rPr>
            </w:pPr>
          </w:p>
        </w:tc>
      </w:tr>
      <w:tr w:rsidR="00AE095A" w:rsidRPr="00765E70" w:rsidTr="001B5462">
        <w:tc>
          <w:tcPr>
            <w:tcW w:w="4508" w:type="dxa"/>
          </w:tcPr>
          <w:p w:rsidR="00AE095A" w:rsidRPr="00765E70" w:rsidRDefault="00AE095A" w:rsidP="001B5462">
            <w:pPr>
              <w:rPr>
                <w:rFonts w:ascii="Arial" w:hAnsi="Arial" w:cs="Arial"/>
                <w:szCs w:val="24"/>
              </w:rPr>
            </w:pPr>
            <w:r w:rsidRPr="00765E70">
              <w:rPr>
                <w:rFonts w:ascii="Arial" w:hAnsi="Arial" w:cs="Arial"/>
                <w:szCs w:val="24"/>
              </w:rPr>
              <w:t>Department of Computer Science</w:t>
            </w:r>
          </w:p>
        </w:tc>
        <w:tc>
          <w:tcPr>
            <w:tcW w:w="4508" w:type="dxa"/>
          </w:tcPr>
          <w:p w:rsidR="00AE095A" w:rsidRPr="00765E70" w:rsidRDefault="00AE095A" w:rsidP="001B5462">
            <w:pPr>
              <w:rPr>
                <w:rFonts w:ascii="Arial" w:hAnsi="Arial" w:cs="Arial"/>
                <w:szCs w:val="24"/>
              </w:rPr>
            </w:pPr>
            <w:r w:rsidRPr="00765E70">
              <w:rPr>
                <w:rFonts w:ascii="Arial" w:hAnsi="Arial" w:cs="Arial"/>
                <w:szCs w:val="24"/>
              </w:rPr>
              <w:t>Computer Forensics</w:t>
            </w:r>
          </w:p>
          <w:p w:rsidR="00AE095A" w:rsidRPr="00765E70" w:rsidRDefault="00AE095A" w:rsidP="001B5462">
            <w:pPr>
              <w:rPr>
                <w:rFonts w:ascii="Arial" w:hAnsi="Arial" w:cs="Arial"/>
                <w:szCs w:val="24"/>
              </w:rPr>
            </w:pPr>
            <w:r w:rsidRPr="00765E70">
              <w:rPr>
                <w:rFonts w:ascii="Arial" w:hAnsi="Arial" w:cs="Arial"/>
                <w:szCs w:val="24"/>
              </w:rPr>
              <w:t xml:space="preserve">Cyber Security </w:t>
            </w:r>
          </w:p>
        </w:tc>
      </w:tr>
      <w:tr w:rsidR="00AE095A" w:rsidRPr="00765E70" w:rsidTr="001B5462">
        <w:tc>
          <w:tcPr>
            <w:tcW w:w="4508" w:type="dxa"/>
          </w:tcPr>
          <w:p w:rsidR="00AE095A" w:rsidRPr="00765E70" w:rsidRDefault="00AE095A" w:rsidP="001B5462">
            <w:pPr>
              <w:rPr>
                <w:rFonts w:ascii="Arial" w:hAnsi="Arial" w:cs="Arial"/>
                <w:szCs w:val="24"/>
              </w:rPr>
            </w:pPr>
            <w:r w:rsidRPr="00765E70">
              <w:rPr>
                <w:rFonts w:ascii="Arial" w:hAnsi="Arial" w:cs="Arial"/>
                <w:szCs w:val="24"/>
              </w:rPr>
              <w:t>Department of Electronics and Electrical Engineering</w:t>
            </w:r>
          </w:p>
        </w:tc>
        <w:tc>
          <w:tcPr>
            <w:tcW w:w="4508" w:type="dxa"/>
          </w:tcPr>
          <w:p w:rsidR="00AE095A" w:rsidRPr="00765E70" w:rsidRDefault="00AE095A" w:rsidP="001B5462">
            <w:pPr>
              <w:rPr>
                <w:rFonts w:ascii="Arial" w:hAnsi="Arial" w:cs="Arial"/>
                <w:szCs w:val="24"/>
              </w:rPr>
            </w:pPr>
          </w:p>
        </w:tc>
      </w:tr>
      <w:tr w:rsidR="00AE095A" w:rsidRPr="00765E70" w:rsidTr="001B5462">
        <w:tc>
          <w:tcPr>
            <w:tcW w:w="4508" w:type="dxa"/>
          </w:tcPr>
          <w:p w:rsidR="00AE095A" w:rsidRPr="00765E70" w:rsidRDefault="00AE095A" w:rsidP="001B5462">
            <w:pPr>
              <w:rPr>
                <w:rFonts w:ascii="Arial" w:hAnsi="Arial" w:cs="Arial"/>
                <w:szCs w:val="24"/>
              </w:rPr>
            </w:pPr>
            <w:r w:rsidRPr="00765E70">
              <w:rPr>
                <w:rFonts w:ascii="Arial" w:hAnsi="Arial" w:cs="Arial"/>
                <w:szCs w:val="24"/>
              </w:rPr>
              <w:t>Department of Maritime and Mechanical Engineering</w:t>
            </w:r>
          </w:p>
        </w:tc>
        <w:tc>
          <w:tcPr>
            <w:tcW w:w="4508" w:type="dxa"/>
          </w:tcPr>
          <w:p w:rsidR="00AE095A" w:rsidRPr="00765E70" w:rsidRDefault="00AE095A" w:rsidP="001B5462">
            <w:pPr>
              <w:rPr>
                <w:rFonts w:ascii="Arial" w:hAnsi="Arial" w:cs="Arial"/>
                <w:szCs w:val="24"/>
              </w:rPr>
            </w:pPr>
            <w:r w:rsidRPr="00765E70">
              <w:rPr>
                <w:rFonts w:ascii="Arial" w:hAnsi="Arial" w:cs="Arial"/>
                <w:szCs w:val="24"/>
              </w:rPr>
              <w:t>Mechanical Engineering</w:t>
            </w:r>
          </w:p>
        </w:tc>
      </w:tr>
      <w:tr w:rsidR="00AE095A" w:rsidRPr="00765E70" w:rsidTr="001B5462">
        <w:tc>
          <w:tcPr>
            <w:tcW w:w="9016" w:type="dxa"/>
            <w:gridSpan w:val="2"/>
            <w:shd w:val="clear" w:color="auto" w:fill="D9D9D9" w:themeFill="background1" w:themeFillShade="D9"/>
          </w:tcPr>
          <w:p w:rsidR="00AE095A" w:rsidRPr="00765E70" w:rsidRDefault="00AE095A" w:rsidP="001B5462">
            <w:pPr>
              <w:jc w:val="center"/>
              <w:rPr>
                <w:rFonts w:ascii="Arial" w:hAnsi="Arial" w:cs="Arial"/>
                <w:b/>
                <w:szCs w:val="24"/>
              </w:rPr>
            </w:pPr>
            <w:r w:rsidRPr="00765E70">
              <w:rPr>
                <w:rFonts w:ascii="Arial" w:hAnsi="Arial" w:cs="Arial"/>
                <w:b/>
                <w:szCs w:val="24"/>
              </w:rPr>
              <w:t>Faculty of Science</w:t>
            </w:r>
          </w:p>
        </w:tc>
      </w:tr>
      <w:tr w:rsidR="00AE095A" w:rsidRPr="00765E70" w:rsidTr="001B5462">
        <w:tc>
          <w:tcPr>
            <w:tcW w:w="4508" w:type="dxa"/>
          </w:tcPr>
          <w:p w:rsidR="00AE095A" w:rsidRPr="00765E70" w:rsidRDefault="00AE095A" w:rsidP="001B5462">
            <w:pPr>
              <w:rPr>
                <w:rFonts w:ascii="Arial" w:hAnsi="Arial" w:cs="Arial"/>
                <w:szCs w:val="24"/>
              </w:rPr>
            </w:pPr>
            <w:r w:rsidRPr="00765E70">
              <w:rPr>
                <w:rFonts w:ascii="Arial" w:hAnsi="Arial" w:cs="Arial"/>
                <w:szCs w:val="24"/>
              </w:rPr>
              <w:t>School of Natural Sciences and Psychology</w:t>
            </w:r>
          </w:p>
        </w:tc>
        <w:tc>
          <w:tcPr>
            <w:tcW w:w="4508" w:type="dxa"/>
          </w:tcPr>
          <w:p w:rsidR="00AE095A" w:rsidRPr="00765E70" w:rsidRDefault="00AE095A" w:rsidP="001B5462">
            <w:pPr>
              <w:rPr>
                <w:rFonts w:ascii="Arial" w:hAnsi="Arial" w:cs="Arial"/>
                <w:szCs w:val="24"/>
              </w:rPr>
            </w:pPr>
            <w:r w:rsidRPr="00765E70">
              <w:rPr>
                <w:rFonts w:ascii="Arial" w:hAnsi="Arial" w:cs="Arial"/>
                <w:szCs w:val="24"/>
              </w:rPr>
              <w:t>Biology</w:t>
            </w:r>
          </w:p>
          <w:p w:rsidR="00AE095A" w:rsidRPr="00765E70" w:rsidRDefault="00AE095A" w:rsidP="001B5462">
            <w:pPr>
              <w:rPr>
                <w:rFonts w:ascii="Arial" w:hAnsi="Arial" w:cs="Arial"/>
                <w:szCs w:val="24"/>
              </w:rPr>
            </w:pPr>
            <w:r w:rsidRPr="00765E70">
              <w:rPr>
                <w:rFonts w:ascii="Arial" w:hAnsi="Arial" w:cs="Arial"/>
                <w:szCs w:val="24"/>
              </w:rPr>
              <w:t>Forensic Anthropology</w:t>
            </w:r>
          </w:p>
        </w:tc>
      </w:tr>
      <w:tr w:rsidR="00AE095A" w:rsidRPr="00765E70" w:rsidTr="001B5462">
        <w:tc>
          <w:tcPr>
            <w:tcW w:w="4508" w:type="dxa"/>
          </w:tcPr>
          <w:p w:rsidR="00AE095A" w:rsidRPr="00765E70" w:rsidRDefault="00AE095A" w:rsidP="001B5462">
            <w:pPr>
              <w:rPr>
                <w:rFonts w:ascii="Arial" w:hAnsi="Arial" w:cs="Arial"/>
                <w:szCs w:val="24"/>
              </w:rPr>
            </w:pPr>
            <w:r w:rsidRPr="00765E70">
              <w:rPr>
                <w:rFonts w:ascii="Arial" w:hAnsi="Arial" w:cs="Arial"/>
                <w:szCs w:val="24"/>
              </w:rPr>
              <w:t>School of Pharmacy and Biomolecular Sciences</w:t>
            </w:r>
          </w:p>
        </w:tc>
        <w:tc>
          <w:tcPr>
            <w:tcW w:w="4508" w:type="dxa"/>
          </w:tcPr>
          <w:p w:rsidR="00AE095A" w:rsidRPr="00765E70" w:rsidRDefault="00AE095A" w:rsidP="001B5462">
            <w:pPr>
              <w:rPr>
                <w:rFonts w:ascii="Arial" w:hAnsi="Arial" w:cs="Arial"/>
                <w:szCs w:val="24"/>
              </w:rPr>
            </w:pPr>
            <w:r w:rsidRPr="00765E70">
              <w:rPr>
                <w:rFonts w:ascii="Arial" w:hAnsi="Arial" w:cs="Arial"/>
                <w:szCs w:val="24"/>
              </w:rPr>
              <w:t>Biochemistry</w:t>
            </w:r>
          </w:p>
          <w:p w:rsidR="00AE095A" w:rsidRPr="00765E70" w:rsidRDefault="00AE095A" w:rsidP="001B5462">
            <w:pPr>
              <w:rPr>
                <w:rFonts w:ascii="Arial" w:hAnsi="Arial" w:cs="Arial"/>
                <w:szCs w:val="24"/>
              </w:rPr>
            </w:pPr>
            <w:r w:rsidRPr="00765E70">
              <w:rPr>
                <w:rFonts w:ascii="Arial" w:hAnsi="Arial" w:cs="Arial"/>
                <w:szCs w:val="24"/>
              </w:rPr>
              <w:t>Biomedical Science</w:t>
            </w:r>
          </w:p>
          <w:p w:rsidR="00AE095A" w:rsidRPr="00765E70" w:rsidRDefault="00AE095A" w:rsidP="001B5462">
            <w:pPr>
              <w:rPr>
                <w:rFonts w:ascii="Arial" w:hAnsi="Arial" w:cs="Arial"/>
                <w:szCs w:val="24"/>
              </w:rPr>
            </w:pPr>
            <w:r w:rsidRPr="00765E70">
              <w:rPr>
                <w:rFonts w:ascii="Arial" w:hAnsi="Arial" w:cs="Arial"/>
                <w:szCs w:val="24"/>
              </w:rPr>
              <w:t>Forensic Science</w:t>
            </w:r>
          </w:p>
          <w:p w:rsidR="00AE095A" w:rsidRPr="00765E70" w:rsidRDefault="00AE095A" w:rsidP="001B5462">
            <w:pPr>
              <w:rPr>
                <w:rFonts w:ascii="Arial" w:hAnsi="Arial" w:cs="Arial"/>
                <w:szCs w:val="24"/>
              </w:rPr>
            </w:pPr>
            <w:r w:rsidRPr="00765E70">
              <w:rPr>
                <w:rFonts w:ascii="Arial" w:hAnsi="Arial" w:cs="Arial"/>
                <w:szCs w:val="24"/>
              </w:rPr>
              <w:t>Pharmacy</w:t>
            </w:r>
          </w:p>
        </w:tc>
      </w:tr>
      <w:tr w:rsidR="00AE095A" w:rsidRPr="00765E70" w:rsidTr="001B5462">
        <w:tc>
          <w:tcPr>
            <w:tcW w:w="4508" w:type="dxa"/>
          </w:tcPr>
          <w:p w:rsidR="00AE095A" w:rsidRPr="00765E70" w:rsidRDefault="00AE095A" w:rsidP="001B5462">
            <w:pPr>
              <w:rPr>
                <w:rFonts w:ascii="Arial" w:hAnsi="Arial" w:cs="Arial"/>
                <w:szCs w:val="24"/>
              </w:rPr>
            </w:pPr>
            <w:r w:rsidRPr="00765E70">
              <w:rPr>
                <w:rFonts w:ascii="Arial" w:hAnsi="Arial" w:cs="Arial"/>
                <w:szCs w:val="24"/>
              </w:rPr>
              <w:t>School of Sport and Exercise Sciences</w:t>
            </w:r>
          </w:p>
        </w:tc>
        <w:tc>
          <w:tcPr>
            <w:tcW w:w="4508" w:type="dxa"/>
          </w:tcPr>
          <w:p w:rsidR="00AE095A" w:rsidRPr="00765E70" w:rsidRDefault="00AE095A" w:rsidP="001B5462">
            <w:pPr>
              <w:rPr>
                <w:rFonts w:ascii="Arial" w:hAnsi="Arial" w:cs="Arial"/>
                <w:szCs w:val="24"/>
              </w:rPr>
            </w:pPr>
            <w:r w:rsidRPr="00765E70">
              <w:rPr>
                <w:rFonts w:ascii="Arial" w:hAnsi="Arial" w:cs="Arial"/>
                <w:szCs w:val="24"/>
              </w:rPr>
              <w:t>Applied Sport Psychology</w:t>
            </w:r>
          </w:p>
        </w:tc>
      </w:tr>
    </w:tbl>
    <w:p w:rsidR="00AE095A" w:rsidRDefault="00AE095A" w:rsidP="00AE095A">
      <w:pPr>
        <w:rPr>
          <w:rFonts w:ascii="Arial" w:hAnsi="Arial" w:cs="Arial"/>
        </w:rPr>
      </w:pPr>
    </w:p>
    <w:p w:rsidR="00AE095A" w:rsidRPr="002D5484" w:rsidRDefault="00AE095A" w:rsidP="00AE095A">
      <w:pPr>
        <w:spacing w:after="160" w:line="259" w:lineRule="auto"/>
        <w:rPr>
          <w:rFonts w:ascii="Arial" w:hAnsi="Arial" w:cs="Arial"/>
        </w:rPr>
      </w:pPr>
      <w:r w:rsidRPr="002D5484">
        <w:rPr>
          <w:rFonts w:ascii="Arial" w:hAnsi="Arial" w:cs="Arial"/>
        </w:rPr>
        <w:t>*Academic units with only one programme</w:t>
      </w:r>
    </w:p>
    <w:p w:rsidR="00AE095A" w:rsidRDefault="00AE095A" w:rsidP="00AE095A">
      <w:pPr>
        <w:spacing w:after="160" w:line="259" w:lineRule="auto"/>
      </w:pPr>
    </w:p>
    <w:p w:rsidR="00AE095A" w:rsidRDefault="00AE095A" w:rsidP="00AE095A">
      <w:pPr>
        <w:spacing w:after="160" w:line="259" w:lineRule="auto"/>
      </w:pPr>
    </w:p>
    <w:p w:rsidR="00AE095A" w:rsidRDefault="00AE095A" w:rsidP="00AE095A"/>
    <w:p w:rsidR="00AE095A" w:rsidRDefault="00AE095A" w:rsidP="00AE095A">
      <w:pPr>
        <w:sectPr w:rsidR="00AE095A" w:rsidSect="00AE095A">
          <w:footerReference w:type="default" r:id="rId19"/>
          <w:pgSz w:w="11906" w:h="16838"/>
          <w:pgMar w:top="1134" w:right="1134" w:bottom="1134" w:left="1134" w:header="709" w:footer="709" w:gutter="0"/>
          <w:cols w:space="708"/>
          <w:docGrid w:linePitch="360"/>
        </w:sectPr>
      </w:pPr>
    </w:p>
    <w:p w:rsidR="00AE095A" w:rsidRPr="00391C78" w:rsidRDefault="00AE095A" w:rsidP="00AE095A">
      <w:pPr>
        <w:rPr>
          <w:rFonts w:ascii="Arial" w:hAnsi="Arial" w:cs="Arial"/>
          <w:b/>
          <w:szCs w:val="24"/>
        </w:rPr>
      </w:pPr>
      <w:r w:rsidRPr="00391C78">
        <w:rPr>
          <w:rFonts w:ascii="Arial" w:hAnsi="Arial" w:cs="Arial"/>
          <w:b/>
          <w:szCs w:val="24"/>
        </w:rPr>
        <w:lastRenderedPageBreak/>
        <w:t xml:space="preserve">Table 2: Teaching and Learning Activity 2014-15, </w:t>
      </w:r>
      <w:r w:rsidRPr="00391C78">
        <w:rPr>
          <w:rFonts w:ascii="Arial" w:hAnsi="Arial" w:cs="Arial"/>
          <w:b/>
          <w:i/>
          <w:szCs w:val="24"/>
        </w:rPr>
        <w:t>activity 2013-14 shown in square brackets for comparison</w:t>
      </w:r>
      <w:r w:rsidRPr="00391C78">
        <w:rPr>
          <w:rFonts w:ascii="Arial" w:hAnsi="Arial" w:cs="Arial"/>
          <w:b/>
          <w:szCs w:val="24"/>
        </w:rPr>
        <w:t xml:space="preserve"> </w:t>
      </w:r>
    </w:p>
    <w:tbl>
      <w:tblPr>
        <w:tblW w:w="0" w:type="auto"/>
        <w:tblInd w:w="-5" w:type="dxa"/>
        <w:tblCellMar>
          <w:left w:w="0" w:type="dxa"/>
          <w:right w:w="0" w:type="dxa"/>
        </w:tblCellMar>
        <w:tblLook w:val="04A0" w:firstRow="1" w:lastRow="0" w:firstColumn="1" w:lastColumn="0" w:noHBand="0" w:noVBand="1"/>
      </w:tblPr>
      <w:tblGrid>
        <w:gridCol w:w="3251"/>
        <w:gridCol w:w="2409"/>
        <w:gridCol w:w="2552"/>
        <w:gridCol w:w="2268"/>
        <w:gridCol w:w="2335"/>
        <w:gridCol w:w="2563"/>
      </w:tblGrid>
      <w:tr w:rsidR="00AE095A" w:rsidRPr="00056142" w:rsidTr="001B5462">
        <w:tc>
          <w:tcPr>
            <w:tcW w:w="3251" w:type="dxa"/>
            <w:vMerge w:val="restart"/>
            <w:tcBorders>
              <w:top w:val="single" w:sz="4" w:space="0" w:color="auto"/>
              <w:left w:val="single" w:sz="8" w:space="0" w:color="auto"/>
              <w:right w:val="single" w:sz="8" w:space="0" w:color="auto"/>
            </w:tcBorders>
            <w:tcMar>
              <w:top w:w="113" w:type="dxa"/>
              <w:left w:w="113" w:type="dxa"/>
              <w:bottom w:w="113" w:type="dxa"/>
              <w:right w:w="113" w:type="dxa"/>
            </w:tcMar>
            <w:vAlign w:val="center"/>
          </w:tcPr>
          <w:p w:rsidR="00AE095A" w:rsidRDefault="00AE095A" w:rsidP="00AE095A">
            <w:pPr>
              <w:spacing w:after="0" w:line="240" w:lineRule="auto"/>
              <w:rPr>
                <w:rFonts w:ascii="Arial" w:hAnsi="Arial" w:cs="Arial"/>
                <w:bCs/>
                <w:iCs/>
              </w:rPr>
            </w:pPr>
          </w:p>
          <w:p w:rsidR="00AE095A" w:rsidRDefault="00AE095A" w:rsidP="00AE095A">
            <w:pPr>
              <w:spacing w:after="0" w:line="240" w:lineRule="auto"/>
              <w:rPr>
                <w:rFonts w:ascii="Arial" w:hAnsi="Arial" w:cs="Arial"/>
                <w:bCs/>
                <w:iCs/>
              </w:rPr>
            </w:pPr>
          </w:p>
          <w:p w:rsidR="00AE095A" w:rsidRPr="000B63B7" w:rsidRDefault="00AE095A" w:rsidP="00AE095A">
            <w:pPr>
              <w:spacing w:after="0" w:line="240" w:lineRule="auto"/>
              <w:rPr>
                <w:rFonts w:ascii="Arial" w:hAnsi="Arial" w:cs="Arial"/>
                <w:bCs/>
                <w:iCs/>
              </w:rPr>
            </w:pPr>
          </w:p>
        </w:tc>
        <w:tc>
          <w:tcPr>
            <w:tcW w:w="9564" w:type="dxa"/>
            <w:gridSpan w:val="4"/>
            <w:tcBorders>
              <w:top w:val="single" w:sz="4" w:space="0" w:color="auto"/>
              <w:left w:val="nil"/>
              <w:bottom w:val="single" w:sz="8" w:space="0" w:color="auto"/>
              <w:right w:val="single" w:sz="4" w:space="0" w:color="auto"/>
            </w:tcBorders>
            <w:tcMar>
              <w:top w:w="113" w:type="dxa"/>
              <w:left w:w="113" w:type="dxa"/>
              <w:bottom w:w="113" w:type="dxa"/>
              <w:right w:w="113" w:type="dxa"/>
            </w:tcMar>
            <w:vAlign w:val="center"/>
          </w:tcPr>
          <w:p w:rsidR="00AE095A" w:rsidRPr="00056142" w:rsidRDefault="00AE095A" w:rsidP="00AE095A">
            <w:pPr>
              <w:spacing w:after="0" w:line="240" w:lineRule="auto"/>
              <w:jc w:val="center"/>
              <w:rPr>
                <w:rFonts w:ascii="Arial" w:hAnsi="Arial" w:cs="Arial"/>
                <w:b/>
                <w:bCs/>
                <w:iCs/>
              </w:rPr>
            </w:pPr>
            <w:r w:rsidRPr="00056142">
              <w:rPr>
                <w:rFonts w:ascii="Arial" w:hAnsi="Arial" w:cs="Arial"/>
                <w:b/>
                <w:bCs/>
                <w:iCs/>
              </w:rPr>
              <w:t>Faculty</w:t>
            </w:r>
          </w:p>
        </w:tc>
        <w:tc>
          <w:tcPr>
            <w:tcW w:w="2563" w:type="dxa"/>
            <w:vMerge w:val="restart"/>
            <w:tcBorders>
              <w:top w:val="single" w:sz="4" w:space="0" w:color="auto"/>
              <w:left w:val="single" w:sz="4" w:space="0" w:color="auto"/>
              <w:right w:val="single" w:sz="8" w:space="0" w:color="auto"/>
            </w:tcBorders>
            <w:tcMar>
              <w:top w:w="113" w:type="dxa"/>
              <w:left w:w="113" w:type="dxa"/>
              <w:bottom w:w="113" w:type="dxa"/>
              <w:right w:w="113" w:type="dxa"/>
            </w:tcMar>
            <w:vAlign w:val="center"/>
          </w:tcPr>
          <w:p w:rsidR="00AE095A" w:rsidRPr="00056142" w:rsidRDefault="00AE095A" w:rsidP="00AE095A">
            <w:pPr>
              <w:spacing w:after="0" w:line="240" w:lineRule="auto"/>
              <w:jc w:val="center"/>
              <w:rPr>
                <w:rFonts w:ascii="Arial" w:hAnsi="Arial" w:cs="Arial"/>
                <w:b/>
                <w:bCs/>
                <w:iCs/>
              </w:rPr>
            </w:pPr>
            <w:r w:rsidRPr="00056142">
              <w:rPr>
                <w:rFonts w:ascii="Arial" w:hAnsi="Arial" w:cs="Arial"/>
                <w:b/>
                <w:bCs/>
                <w:iCs/>
              </w:rPr>
              <w:t>University</w:t>
            </w:r>
          </w:p>
        </w:tc>
      </w:tr>
      <w:tr w:rsidR="00AE095A" w:rsidRPr="00056142" w:rsidTr="001B5462">
        <w:tc>
          <w:tcPr>
            <w:tcW w:w="3251" w:type="dxa"/>
            <w:vMerge/>
            <w:tcBorders>
              <w:left w:val="single" w:sz="8" w:space="0" w:color="auto"/>
              <w:bottom w:val="single" w:sz="8" w:space="0" w:color="auto"/>
              <w:right w:val="single" w:sz="8" w:space="0" w:color="auto"/>
            </w:tcBorders>
            <w:tcMar>
              <w:top w:w="113" w:type="dxa"/>
              <w:left w:w="113" w:type="dxa"/>
              <w:bottom w:w="113" w:type="dxa"/>
              <w:right w:w="113" w:type="dxa"/>
            </w:tcMar>
            <w:vAlign w:val="center"/>
          </w:tcPr>
          <w:p w:rsidR="00AE095A" w:rsidRPr="00056142" w:rsidRDefault="00AE095A" w:rsidP="00AE095A">
            <w:pPr>
              <w:spacing w:after="0" w:line="240" w:lineRule="auto"/>
              <w:rPr>
                <w:rFonts w:ascii="Arial" w:hAnsi="Arial" w:cs="Arial"/>
                <w:b/>
                <w:bCs/>
                <w:iCs/>
              </w:rPr>
            </w:pPr>
          </w:p>
        </w:tc>
        <w:tc>
          <w:tcPr>
            <w:tcW w:w="2409" w:type="dxa"/>
            <w:tcBorders>
              <w:top w:val="single" w:sz="4" w:space="0" w:color="auto"/>
              <w:left w:val="nil"/>
              <w:bottom w:val="single" w:sz="8" w:space="0" w:color="auto"/>
              <w:right w:val="single" w:sz="8" w:space="0" w:color="auto"/>
            </w:tcBorders>
            <w:tcMar>
              <w:top w:w="113" w:type="dxa"/>
              <w:left w:w="113" w:type="dxa"/>
              <w:bottom w:w="113" w:type="dxa"/>
              <w:right w:w="113" w:type="dxa"/>
            </w:tcMar>
            <w:vAlign w:val="center"/>
          </w:tcPr>
          <w:p w:rsidR="00AE095A" w:rsidRPr="00056142" w:rsidRDefault="00AE095A" w:rsidP="00AE095A">
            <w:pPr>
              <w:spacing w:after="0" w:line="240" w:lineRule="auto"/>
              <w:jc w:val="center"/>
              <w:rPr>
                <w:rFonts w:ascii="Arial" w:hAnsi="Arial" w:cs="Arial"/>
                <w:b/>
                <w:bCs/>
                <w:iCs/>
              </w:rPr>
            </w:pPr>
            <w:r w:rsidRPr="00056142">
              <w:rPr>
                <w:rFonts w:ascii="Arial" w:hAnsi="Arial" w:cs="Arial"/>
                <w:b/>
                <w:bCs/>
                <w:iCs/>
              </w:rPr>
              <w:t>Arts and Professional Studies</w:t>
            </w:r>
          </w:p>
        </w:tc>
        <w:tc>
          <w:tcPr>
            <w:tcW w:w="2552" w:type="dxa"/>
            <w:tcBorders>
              <w:top w:val="single" w:sz="4" w:space="0" w:color="auto"/>
              <w:left w:val="nil"/>
              <w:bottom w:val="single" w:sz="8" w:space="0" w:color="auto"/>
              <w:right w:val="single" w:sz="4" w:space="0" w:color="auto"/>
            </w:tcBorders>
            <w:tcMar>
              <w:top w:w="113" w:type="dxa"/>
              <w:left w:w="113" w:type="dxa"/>
              <w:bottom w:w="113" w:type="dxa"/>
              <w:right w:w="113" w:type="dxa"/>
            </w:tcMar>
            <w:vAlign w:val="center"/>
          </w:tcPr>
          <w:p w:rsidR="00AE095A" w:rsidRPr="00056142" w:rsidRDefault="00AE095A" w:rsidP="00AE095A">
            <w:pPr>
              <w:spacing w:after="0" w:line="240" w:lineRule="auto"/>
              <w:ind w:left="109"/>
              <w:jc w:val="center"/>
              <w:rPr>
                <w:rFonts w:ascii="Arial" w:hAnsi="Arial" w:cs="Arial"/>
                <w:b/>
                <w:bCs/>
                <w:iCs/>
              </w:rPr>
            </w:pPr>
            <w:r w:rsidRPr="00056142">
              <w:rPr>
                <w:rFonts w:ascii="Arial" w:hAnsi="Arial" w:cs="Arial"/>
                <w:b/>
                <w:bCs/>
                <w:iCs/>
              </w:rPr>
              <w:t>Education, Health and Community</w:t>
            </w:r>
          </w:p>
        </w:tc>
        <w:tc>
          <w:tcPr>
            <w:tcW w:w="2268" w:type="dxa"/>
            <w:tcBorders>
              <w:top w:val="single" w:sz="4" w:space="0" w:color="auto"/>
              <w:left w:val="single" w:sz="4" w:space="0" w:color="auto"/>
              <w:bottom w:val="single" w:sz="8" w:space="0" w:color="auto"/>
              <w:right w:val="single" w:sz="4" w:space="0" w:color="auto"/>
            </w:tcBorders>
            <w:tcMar>
              <w:top w:w="113" w:type="dxa"/>
              <w:left w:w="113" w:type="dxa"/>
              <w:bottom w:w="113" w:type="dxa"/>
              <w:right w:w="113" w:type="dxa"/>
            </w:tcMar>
            <w:vAlign w:val="center"/>
          </w:tcPr>
          <w:p w:rsidR="00AE095A" w:rsidRPr="00056142" w:rsidRDefault="00AE095A" w:rsidP="00AE095A">
            <w:pPr>
              <w:spacing w:after="0" w:line="240" w:lineRule="auto"/>
              <w:jc w:val="center"/>
              <w:rPr>
                <w:rFonts w:ascii="Arial" w:hAnsi="Arial" w:cs="Arial"/>
                <w:b/>
                <w:bCs/>
                <w:iCs/>
              </w:rPr>
            </w:pPr>
            <w:r w:rsidRPr="00056142">
              <w:rPr>
                <w:rFonts w:ascii="Arial" w:hAnsi="Arial" w:cs="Arial"/>
                <w:b/>
                <w:bCs/>
                <w:iCs/>
              </w:rPr>
              <w:t>Science</w:t>
            </w:r>
          </w:p>
        </w:tc>
        <w:tc>
          <w:tcPr>
            <w:tcW w:w="2335" w:type="dxa"/>
            <w:tcBorders>
              <w:top w:val="single" w:sz="4" w:space="0" w:color="auto"/>
              <w:left w:val="single" w:sz="4" w:space="0" w:color="auto"/>
              <w:bottom w:val="single" w:sz="8" w:space="0" w:color="auto"/>
              <w:right w:val="single" w:sz="4" w:space="0" w:color="auto"/>
            </w:tcBorders>
            <w:tcMar>
              <w:top w:w="113" w:type="dxa"/>
              <w:left w:w="113" w:type="dxa"/>
              <w:bottom w:w="113" w:type="dxa"/>
              <w:right w:w="113" w:type="dxa"/>
            </w:tcMar>
            <w:vAlign w:val="center"/>
          </w:tcPr>
          <w:p w:rsidR="00AE095A" w:rsidRPr="00056142" w:rsidRDefault="00AE095A" w:rsidP="00AE095A">
            <w:pPr>
              <w:spacing w:after="0" w:line="240" w:lineRule="auto"/>
              <w:jc w:val="center"/>
              <w:rPr>
                <w:rFonts w:ascii="Arial" w:hAnsi="Arial" w:cs="Arial"/>
                <w:b/>
                <w:bCs/>
                <w:iCs/>
              </w:rPr>
            </w:pPr>
            <w:r w:rsidRPr="00056142">
              <w:rPr>
                <w:rFonts w:ascii="Arial" w:hAnsi="Arial" w:cs="Arial"/>
                <w:b/>
                <w:bCs/>
                <w:iCs/>
              </w:rPr>
              <w:t>En</w:t>
            </w:r>
            <w:r>
              <w:rPr>
                <w:rFonts w:ascii="Arial" w:hAnsi="Arial" w:cs="Arial"/>
                <w:b/>
                <w:bCs/>
                <w:iCs/>
              </w:rPr>
              <w:t xml:space="preserve">gineering and Technology </w:t>
            </w:r>
          </w:p>
        </w:tc>
        <w:tc>
          <w:tcPr>
            <w:tcW w:w="2563" w:type="dxa"/>
            <w:vMerge/>
            <w:tcBorders>
              <w:left w:val="single" w:sz="4" w:space="0" w:color="auto"/>
              <w:bottom w:val="single" w:sz="8" w:space="0" w:color="auto"/>
              <w:right w:val="single" w:sz="8" w:space="0" w:color="auto"/>
            </w:tcBorders>
            <w:tcMar>
              <w:top w:w="113" w:type="dxa"/>
              <w:left w:w="113" w:type="dxa"/>
              <w:bottom w:w="113" w:type="dxa"/>
              <w:right w:w="113" w:type="dxa"/>
            </w:tcMar>
            <w:vAlign w:val="center"/>
            <w:hideMark/>
          </w:tcPr>
          <w:p w:rsidR="00AE095A" w:rsidRPr="00056142" w:rsidRDefault="00AE095A" w:rsidP="00AE095A">
            <w:pPr>
              <w:spacing w:after="0" w:line="240" w:lineRule="auto"/>
              <w:jc w:val="center"/>
              <w:rPr>
                <w:rFonts w:ascii="Arial" w:hAnsi="Arial" w:cs="Arial"/>
                <w:b/>
                <w:bCs/>
                <w:iCs/>
              </w:rPr>
            </w:pPr>
          </w:p>
        </w:tc>
      </w:tr>
      <w:tr w:rsidR="00AE095A" w:rsidRPr="00056142" w:rsidTr="00AE095A">
        <w:trPr>
          <w:trHeight w:val="20"/>
        </w:trPr>
        <w:tc>
          <w:tcPr>
            <w:tcW w:w="3251" w:type="dxa"/>
            <w:tcBorders>
              <w:top w:val="nil"/>
              <w:left w:val="single" w:sz="8" w:space="0" w:color="auto"/>
              <w:bottom w:val="single" w:sz="8" w:space="0" w:color="auto"/>
              <w:right w:val="single" w:sz="8" w:space="0" w:color="auto"/>
            </w:tcBorders>
            <w:tcMar>
              <w:top w:w="113" w:type="dxa"/>
              <w:left w:w="113" w:type="dxa"/>
              <w:bottom w:w="113" w:type="dxa"/>
              <w:right w:w="113" w:type="dxa"/>
            </w:tcMar>
            <w:vAlign w:val="center"/>
            <w:hideMark/>
          </w:tcPr>
          <w:p w:rsidR="00AE095A" w:rsidRPr="00056142" w:rsidRDefault="00AE095A" w:rsidP="00AE095A">
            <w:pPr>
              <w:spacing w:after="0" w:line="240" w:lineRule="auto"/>
              <w:rPr>
                <w:rFonts w:ascii="Arial" w:hAnsi="Arial" w:cs="Arial"/>
                <w:b/>
                <w:bCs/>
                <w:iCs/>
              </w:rPr>
            </w:pPr>
            <w:r w:rsidRPr="00056142">
              <w:rPr>
                <w:rFonts w:ascii="Arial" w:hAnsi="Arial" w:cs="Arial"/>
                <w:b/>
                <w:bCs/>
                <w:iCs/>
              </w:rPr>
              <w:t>Research and Practice Seminar  unique attendances</w:t>
            </w:r>
          </w:p>
        </w:tc>
        <w:tc>
          <w:tcPr>
            <w:tcW w:w="2409"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Pr="00183E8B" w:rsidRDefault="00AE095A" w:rsidP="00AE095A">
            <w:pPr>
              <w:spacing w:after="0" w:line="240" w:lineRule="auto"/>
              <w:jc w:val="center"/>
              <w:rPr>
                <w:rFonts w:ascii="Arial" w:hAnsi="Arial" w:cs="Arial"/>
                <w:bCs/>
                <w:i/>
              </w:rPr>
            </w:pPr>
            <w:r>
              <w:rPr>
                <w:rFonts w:ascii="Arial" w:hAnsi="Arial" w:cs="Arial"/>
                <w:bCs/>
              </w:rPr>
              <w:t>21</w:t>
            </w:r>
            <w:r w:rsidRPr="00391C78">
              <w:rPr>
                <w:rFonts w:ascii="Arial" w:hAnsi="Arial" w:cs="Arial"/>
                <w:bCs/>
              </w:rPr>
              <w:t>[</w:t>
            </w:r>
            <w:r w:rsidRPr="00183E8B">
              <w:rPr>
                <w:rFonts w:ascii="Arial" w:hAnsi="Arial" w:cs="Arial"/>
                <w:bCs/>
                <w:i/>
              </w:rPr>
              <w:t>18</w:t>
            </w:r>
            <w:r>
              <w:rPr>
                <w:rFonts w:ascii="Arial" w:hAnsi="Arial" w:cs="Arial"/>
                <w:bCs/>
                <w:i/>
              </w:rPr>
              <w:t>]</w:t>
            </w:r>
          </w:p>
        </w:tc>
        <w:tc>
          <w:tcPr>
            <w:tcW w:w="2552"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Pr="00183E8B" w:rsidRDefault="00AE095A" w:rsidP="00AE095A">
            <w:pPr>
              <w:spacing w:after="0" w:line="240" w:lineRule="auto"/>
              <w:ind w:left="109"/>
              <w:jc w:val="center"/>
              <w:rPr>
                <w:rFonts w:ascii="Arial" w:hAnsi="Arial" w:cs="Arial"/>
                <w:i/>
              </w:rPr>
            </w:pPr>
            <w:r>
              <w:rPr>
                <w:rFonts w:ascii="Arial" w:hAnsi="Arial" w:cs="Arial"/>
              </w:rPr>
              <w:t>24</w:t>
            </w:r>
            <w:r w:rsidRPr="00183E8B">
              <w:rPr>
                <w:rFonts w:ascii="Arial" w:hAnsi="Arial" w:cs="Arial"/>
                <w:i/>
              </w:rPr>
              <w:t>[14]</w:t>
            </w:r>
          </w:p>
        </w:tc>
        <w:tc>
          <w:tcPr>
            <w:tcW w:w="2268"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Pr="00183E8B" w:rsidRDefault="00AE095A" w:rsidP="00AE095A">
            <w:pPr>
              <w:spacing w:after="0" w:line="240" w:lineRule="auto"/>
              <w:jc w:val="center"/>
              <w:rPr>
                <w:rFonts w:ascii="Arial" w:hAnsi="Arial" w:cs="Arial"/>
                <w:bCs/>
                <w:i/>
              </w:rPr>
            </w:pPr>
            <w:r>
              <w:rPr>
                <w:rFonts w:ascii="Arial" w:hAnsi="Arial" w:cs="Arial"/>
                <w:bCs/>
              </w:rPr>
              <w:t>18</w:t>
            </w:r>
            <w:r w:rsidRPr="00183E8B">
              <w:rPr>
                <w:rFonts w:ascii="Arial" w:hAnsi="Arial" w:cs="Arial"/>
                <w:bCs/>
                <w:i/>
              </w:rPr>
              <w:t>[12]</w:t>
            </w:r>
          </w:p>
        </w:tc>
        <w:tc>
          <w:tcPr>
            <w:tcW w:w="2335"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Pr="00183E8B" w:rsidRDefault="00AE095A" w:rsidP="00AE095A">
            <w:pPr>
              <w:spacing w:after="0" w:line="240" w:lineRule="auto"/>
              <w:jc w:val="center"/>
              <w:rPr>
                <w:rFonts w:ascii="Arial" w:hAnsi="Arial" w:cs="Arial"/>
                <w:bCs/>
                <w:i/>
              </w:rPr>
            </w:pPr>
            <w:r>
              <w:rPr>
                <w:rFonts w:ascii="Arial" w:hAnsi="Arial" w:cs="Arial"/>
                <w:bCs/>
              </w:rPr>
              <w:t>19</w:t>
            </w:r>
            <w:r w:rsidRPr="00183E8B">
              <w:rPr>
                <w:rFonts w:ascii="Arial" w:hAnsi="Arial" w:cs="Arial"/>
                <w:bCs/>
                <w:i/>
              </w:rPr>
              <w:t>[8]</w:t>
            </w:r>
          </w:p>
        </w:tc>
        <w:tc>
          <w:tcPr>
            <w:tcW w:w="2563" w:type="dxa"/>
            <w:tcBorders>
              <w:top w:val="nil"/>
              <w:left w:val="single" w:sz="4" w:space="0" w:color="auto"/>
              <w:bottom w:val="single" w:sz="8" w:space="0" w:color="auto"/>
              <w:right w:val="single" w:sz="8" w:space="0" w:color="auto"/>
            </w:tcBorders>
            <w:tcMar>
              <w:top w:w="113" w:type="dxa"/>
              <w:left w:w="113" w:type="dxa"/>
              <w:bottom w:w="113" w:type="dxa"/>
              <w:right w:w="113" w:type="dxa"/>
            </w:tcMar>
            <w:vAlign w:val="center"/>
          </w:tcPr>
          <w:p w:rsidR="00AE095A" w:rsidRPr="00056142" w:rsidRDefault="00AE095A" w:rsidP="00AE095A">
            <w:pPr>
              <w:spacing w:after="0" w:line="240" w:lineRule="auto"/>
              <w:jc w:val="center"/>
              <w:rPr>
                <w:rFonts w:ascii="Arial" w:hAnsi="Arial" w:cs="Arial"/>
                <w:bCs/>
              </w:rPr>
            </w:pPr>
            <w:r>
              <w:rPr>
                <w:rFonts w:ascii="Arial" w:hAnsi="Arial" w:cs="Arial"/>
                <w:bCs/>
              </w:rPr>
              <w:t xml:space="preserve">82 </w:t>
            </w:r>
            <w:r w:rsidRPr="00183E8B">
              <w:rPr>
                <w:rFonts w:ascii="Arial" w:hAnsi="Arial" w:cs="Arial"/>
                <w:bCs/>
                <w:i/>
              </w:rPr>
              <w:t>[</w:t>
            </w:r>
            <w:r>
              <w:rPr>
                <w:rFonts w:ascii="Arial" w:hAnsi="Arial" w:cs="Arial"/>
                <w:bCs/>
                <w:i/>
              </w:rPr>
              <w:t>52</w:t>
            </w:r>
            <w:r w:rsidRPr="00183E8B">
              <w:rPr>
                <w:rFonts w:ascii="Arial" w:hAnsi="Arial" w:cs="Arial"/>
                <w:bCs/>
                <w:i/>
              </w:rPr>
              <w:t>]</w:t>
            </w:r>
          </w:p>
        </w:tc>
      </w:tr>
      <w:tr w:rsidR="00AE095A" w:rsidRPr="00056142" w:rsidTr="00AE095A">
        <w:trPr>
          <w:trHeight w:val="20"/>
        </w:trPr>
        <w:tc>
          <w:tcPr>
            <w:tcW w:w="3251" w:type="dxa"/>
            <w:tcBorders>
              <w:top w:val="nil"/>
              <w:left w:val="single" w:sz="8" w:space="0" w:color="auto"/>
              <w:bottom w:val="single" w:sz="8" w:space="0" w:color="auto"/>
              <w:right w:val="single" w:sz="8" w:space="0" w:color="auto"/>
            </w:tcBorders>
            <w:tcMar>
              <w:top w:w="113" w:type="dxa"/>
              <w:left w:w="113" w:type="dxa"/>
              <w:bottom w:w="113" w:type="dxa"/>
              <w:right w:w="113" w:type="dxa"/>
            </w:tcMar>
            <w:vAlign w:val="center"/>
            <w:hideMark/>
          </w:tcPr>
          <w:p w:rsidR="00AE095A" w:rsidRPr="00056142" w:rsidRDefault="00AE095A" w:rsidP="00AE095A">
            <w:pPr>
              <w:spacing w:after="0" w:line="240" w:lineRule="auto"/>
              <w:rPr>
                <w:rFonts w:ascii="Arial" w:hAnsi="Arial" w:cs="Arial"/>
                <w:b/>
                <w:bCs/>
                <w:iCs/>
              </w:rPr>
            </w:pPr>
            <w:r w:rsidRPr="00056142">
              <w:rPr>
                <w:rFonts w:ascii="Arial" w:hAnsi="Arial" w:cs="Arial"/>
                <w:b/>
                <w:bCs/>
                <w:iCs/>
              </w:rPr>
              <w:t>Teaching and Learning Conference attendance</w:t>
            </w:r>
          </w:p>
        </w:tc>
        <w:tc>
          <w:tcPr>
            <w:tcW w:w="2409" w:type="dxa"/>
            <w:tcBorders>
              <w:top w:val="nil"/>
              <w:left w:val="nil"/>
              <w:bottom w:val="single" w:sz="8" w:space="0" w:color="auto"/>
              <w:right w:val="single" w:sz="8" w:space="0" w:color="auto"/>
            </w:tcBorders>
            <w:tcMar>
              <w:top w:w="113" w:type="dxa"/>
              <w:left w:w="113" w:type="dxa"/>
              <w:bottom w:w="113" w:type="dxa"/>
              <w:right w:w="113" w:type="dxa"/>
            </w:tcMar>
            <w:vAlign w:val="center"/>
            <w:hideMark/>
          </w:tcPr>
          <w:p w:rsidR="00AE095A" w:rsidRPr="00056142" w:rsidRDefault="00AE095A" w:rsidP="00AE095A">
            <w:pPr>
              <w:spacing w:after="0" w:line="240" w:lineRule="auto"/>
              <w:jc w:val="center"/>
              <w:rPr>
                <w:rFonts w:ascii="Arial" w:hAnsi="Arial" w:cs="Arial"/>
                <w:bCs/>
                <w:iCs/>
                <w:color w:val="FF0000"/>
              </w:rPr>
            </w:pPr>
            <w:r w:rsidRPr="00056142">
              <w:rPr>
                <w:rFonts w:ascii="Arial" w:hAnsi="Arial" w:cs="Arial"/>
                <w:bCs/>
                <w:iCs/>
              </w:rPr>
              <w:t xml:space="preserve">93 </w:t>
            </w:r>
            <w:r w:rsidRPr="00056142">
              <w:rPr>
                <w:rFonts w:ascii="Arial" w:hAnsi="Arial" w:cs="Arial"/>
                <w:bCs/>
                <w:i/>
                <w:iCs/>
              </w:rPr>
              <w:t>[62]</w:t>
            </w:r>
          </w:p>
        </w:tc>
        <w:tc>
          <w:tcPr>
            <w:tcW w:w="2552"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Pr="00056142" w:rsidRDefault="00AE095A" w:rsidP="00AE095A">
            <w:pPr>
              <w:spacing w:after="0" w:line="240" w:lineRule="auto"/>
              <w:ind w:left="109"/>
              <w:jc w:val="center"/>
              <w:rPr>
                <w:rFonts w:ascii="Arial" w:hAnsi="Arial" w:cs="Arial"/>
                <w:bCs/>
                <w:iCs/>
                <w:color w:val="FF0000"/>
              </w:rPr>
            </w:pPr>
            <w:r w:rsidRPr="00056142">
              <w:rPr>
                <w:rFonts w:ascii="Arial" w:hAnsi="Arial" w:cs="Arial"/>
                <w:bCs/>
                <w:iCs/>
              </w:rPr>
              <w:t xml:space="preserve">117 </w:t>
            </w:r>
            <w:r w:rsidRPr="00056142">
              <w:rPr>
                <w:rFonts w:ascii="Arial" w:hAnsi="Arial" w:cs="Arial"/>
                <w:bCs/>
                <w:i/>
                <w:iCs/>
              </w:rPr>
              <w:t>[93]</w:t>
            </w:r>
          </w:p>
        </w:tc>
        <w:tc>
          <w:tcPr>
            <w:tcW w:w="2268"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Pr="00056142" w:rsidRDefault="00AE095A" w:rsidP="00AE095A">
            <w:pPr>
              <w:spacing w:after="0" w:line="240" w:lineRule="auto"/>
              <w:jc w:val="center"/>
              <w:rPr>
                <w:rFonts w:ascii="Arial" w:hAnsi="Arial" w:cs="Arial"/>
                <w:bCs/>
                <w:iCs/>
                <w:color w:val="FF0000"/>
              </w:rPr>
            </w:pPr>
            <w:r w:rsidRPr="00056142">
              <w:rPr>
                <w:rFonts w:ascii="Arial" w:hAnsi="Arial" w:cs="Arial"/>
                <w:bCs/>
                <w:iCs/>
              </w:rPr>
              <w:t xml:space="preserve">50 </w:t>
            </w:r>
            <w:r w:rsidRPr="00056142">
              <w:rPr>
                <w:rFonts w:ascii="Arial" w:hAnsi="Arial" w:cs="Arial"/>
                <w:bCs/>
                <w:i/>
                <w:iCs/>
              </w:rPr>
              <w:t>[43]</w:t>
            </w:r>
            <w:r w:rsidRPr="00056142">
              <w:rPr>
                <w:rFonts w:ascii="Arial" w:hAnsi="Arial" w:cs="Arial"/>
                <w:bCs/>
                <w:iCs/>
              </w:rPr>
              <w:t xml:space="preserve"> </w:t>
            </w:r>
          </w:p>
        </w:tc>
        <w:tc>
          <w:tcPr>
            <w:tcW w:w="2335"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Pr="00056142" w:rsidRDefault="00AE095A" w:rsidP="00AE095A">
            <w:pPr>
              <w:spacing w:after="0" w:line="240" w:lineRule="auto"/>
              <w:jc w:val="center"/>
              <w:rPr>
                <w:rFonts w:ascii="Arial" w:hAnsi="Arial" w:cs="Arial"/>
                <w:bCs/>
                <w:iCs/>
                <w:color w:val="FF0000"/>
              </w:rPr>
            </w:pPr>
            <w:r w:rsidRPr="00056142">
              <w:rPr>
                <w:rFonts w:ascii="Arial" w:hAnsi="Arial" w:cs="Arial"/>
                <w:bCs/>
                <w:iCs/>
              </w:rPr>
              <w:t xml:space="preserve">55 </w:t>
            </w:r>
            <w:r w:rsidRPr="00056142">
              <w:rPr>
                <w:rFonts w:ascii="Arial" w:hAnsi="Arial" w:cs="Arial"/>
                <w:bCs/>
                <w:i/>
                <w:iCs/>
              </w:rPr>
              <w:t>[52]</w:t>
            </w:r>
            <w:r w:rsidRPr="00056142">
              <w:rPr>
                <w:rFonts w:ascii="Arial" w:hAnsi="Arial" w:cs="Arial"/>
                <w:bCs/>
                <w:iCs/>
              </w:rPr>
              <w:t xml:space="preserve"> </w:t>
            </w:r>
          </w:p>
        </w:tc>
        <w:tc>
          <w:tcPr>
            <w:tcW w:w="2563" w:type="dxa"/>
            <w:tcBorders>
              <w:top w:val="nil"/>
              <w:left w:val="single" w:sz="4" w:space="0" w:color="auto"/>
              <w:bottom w:val="single" w:sz="8" w:space="0" w:color="auto"/>
              <w:right w:val="single" w:sz="8" w:space="0" w:color="auto"/>
            </w:tcBorders>
            <w:tcMar>
              <w:top w:w="113" w:type="dxa"/>
              <w:left w:w="113" w:type="dxa"/>
              <w:bottom w:w="113" w:type="dxa"/>
              <w:right w:w="113" w:type="dxa"/>
            </w:tcMar>
            <w:vAlign w:val="center"/>
            <w:hideMark/>
          </w:tcPr>
          <w:p w:rsidR="00AE095A" w:rsidRPr="00056142" w:rsidRDefault="00AE095A" w:rsidP="00AE095A">
            <w:pPr>
              <w:spacing w:after="0" w:line="240" w:lineRule="auto"/>
              <w:jc w:val="center"/>
              <w:rPr>
                <w:rFonts w:ascii="Arial" w:hAnsi="Arial" w:cs="Arial"/>
                <w:bCs/>
                <w:iCs/>
              </w:rPr>
            </w:pPr>
            <w:r w:rsidRPr="00056142">
              <w:rPr>
                <w:rFonts w:ascii="Arial" w:hAnsi="Arial" w:cs="Arial"/>
                <w:bCs/>
                <w:iCs/>
              </w:rPr>
              <w:t xml:space="preserve">457 </w:t>
            </w:r>
            <w:r w:rsidRPr="00056142">
              <w:rPr>
                <w:rFonts w:ascii="Arial" w:hAnsi="Arial" w:cs="Arial"/>
                <w:bCs/>
                <w:i/>
                <w:iCs/>
              </w:rPr>
              <w:t>[332]</w:t>
            </w:r>
          </w:p>
          <w:p w:rsidR="00AE095A" w:rsidRPr="000020B9" w:rsidRDefault="00AE095A" w:rsidP="00AE095A">
            <w:pPr>
              <w:spacing w:after="0" w:line="240" w:lineRule="auto"/>
              <w:rPr>
                <w:rFonts w:ascii="Arial" w:hAnsi="Arial" w:cs="Arial"/>
                <w:bCs/>
                <w:iCs/>
                <w:sz w:val="20"/>
                <w:szCs w:val="20"/>
              </w:rPr>
            </w:pPr>
            <w:r w:rsidRPr="000020B9">
              <w:rPr>
                <w:rFonts w:ascii="Arial" w:hAnsi="Arial" w:cs="Arial"/>
                <w:bCs/>
                <w:iCs/>
                <w:sz w:val="20"/>
                <w:szCs w:val="20"/>
              </w:rPr>
              <w:t xml:space="preserve">(315 </w:t>
            </w:r>
            <w:r w:rsidRPr="000020B9">
              <w:rPr>
                <w:rFonts w:ascii="Arial" w:hAnsi="Arial" w:cs="Arial"/>
                <w:bCs/>
                <w:i/>
                <w:iCs/>
                <w:sz w:val="20"/>
                <w:szCs w:val="20"/>
              </w:rPr>
              <w:t>[250]</w:t>
            </w:r>
            <w:r w:rsidRPr="000020B9">
              <w:rPr>
                <w:rFonts w:ascii="Arial" w:hAnsi="Arial" w:cs="Arial"/>
                <w:bCs/>
                <w:iCs/>
                <w:sz w:val="20"/>
                <w:szCs w:val="20"/>
              </w:rPr>
              <w:t xml:space="preserve"> Faculty; 80 </w:t>
            </w:r>
            <w:r w:rsidRPr="000020B9">
              <w:rPr>
                <w:rFonts w:ascii="Arial" w:hAnsi="Arial" w:cs="Arial"/>
                <w:bCs/>
                <w:i/>
                <w:iCs/>
                <w:sz w:val="20"/>
                <w:szCs w:val="20"/>
              </w:rPr>
              <w:t>[69]</w:t>
            </w:r>
            <w:r w:rsidRPr="000020B9">
              <w:rPr>
                <w:rFonts w:ascii="Arial" w:hAnsi="Arial" w:cs="Arial"/>
                <w:bCs/>
                <w:iCs/>
                <w:sz w:val="20"/>
                <w:szCs w:val="20"/>
              </w:rPr>
              <w:t xml:space="preserve"> Professional Services 62 </w:t>
            </w:r>
            <w:r w:rsidRPr="000020B9">
              <w:rPr>
                <w:rFonts w:ascii="Arial" w:hAnsi="Arial" w:cs="Arial"/>
                <w:bCs/>
                <w:i/>
                <w:iCs/>
                <w:sz w:val="20"/>
                <w:szCs w:val="20"/>
              </w:rPr>
              <w:t>[13]</w:t>
            </w:r>
            <w:r w:rsidRPr="000020B9">
              <w:rPr>
                <w:rFonts w:ascii="Arial" w:hAnsi="Arial" w:cs="Arial"/>
                <w:bCs/>
                <w:iCs/>
                <w:sz w:val="20"/>
                <w:szCs w:val="20"/>
              </w:rPr>
              <w:t xml:space="preserve"> external)</w:t>
            </w:r>
          </w:p>
        </w:tc>
      </w:tr>
      <w:tr w:rsidR="00AE095A" w:rsidRPr="00056142" w:rsidTr="00AE095A">
        <w:trPr>
          <w:trHeight w:val="20"/>
        </w:trPr>
        <w:tc>
          <w:tcPr>
            <w:tcW w:w="3251" w:type="dxa"/>
            <w:tcBorders>
              <w:top w:val="nil"/>
              <w:left w:val="single" w:sz="8" w:space="0" w:color="auto"/>
              <w:bottom w:val="single" w:sz="8" w:space="0" w:color="auto"/>
              <w:right w:val="single" w:sz="8" w:space="0" w:color="auto"/>
            </w:tcBorders>
            <w:tcMar>
              <w:top w:w="113" w:type="dxa"/>
              <w:left w:w="113" w:type="dxa"/>
              <w:bottom w:w="113" w:type="dxa"/>
              <w:right w:w="113" w:type="dxa"/>
            </w:tcMar>
            <w:vAlign w:val="center"/>
            <w:hideMark/>
          </w:tcPr>
          <w:p w:rsidR="00AE095A" w:rsidRPr="00056142" w:rsidRDefault="00AE095A" w:rsidP="00AE095A">
            <w:pPr>
              <w:spacing w:after="0" w:line="240" w:lineRule="auto"/>
              <w:rPr>
                <w:rFonts w:ascii="Arial" w:hAnsi="Arial" w:cs="Arial"/>
                <w:b/>
                <w:bCs/>
                <w:iCs/>
              </w:rPr>
            </w:pPr>
            <w:r w:rsidRPr="00056142">
              <w:rPr>
                <w:rFonts w:ascii="Arial" w:hAnsi="Arial" w:cs="Arial"/>
                <w:b/>
                <w:bCs/>
                <w:iCs/>
              </w:rPr>
              <w:t>Teaching and Learning Awards</w:t>
            </w:r>
          </w:p>
        </w:tc>
        <w:tc>
          <w:tcPr>
            <w:tcW w:w="2409" w:type="dxa"/>
            <w:tcBorders>
              <w:top w:val="nil"/>
              <w:left w:val="nil"/>
              <w:bottom w:val="single" w:sz="8" w:space="0" w:color="auto"/>
              <w:right w:val="single" w:sz="8" w:space="0" w:color="auto"/>
            </w:tcBorders>
            <w:tcMar>
              <w:top w:w="113" w:type="dxa"/>
              <w:left w:w="113" w:type="dxa"/>
              <w:bottom w:w="113" w:type="dxa"/>
              <w:right w:w="113" w:type="dxa"/>
            </w:tcMar>
            <w:vAlign w:val="center"/>
            <w:hideMark/>
          </w:tcPr>
          <w:p w:rsidR="00AE095A" w:rsidRPr="00056142" w:rsidRDefault="00AE095A" w:rsidP="00AE095A">
            <w:pPr>
              <w:spacing w:after="0" w:line="240" w:lineRule="auto"/>
              <w:jc w:val="center"/>
              <w:rPr>
                <w:rFonts w:ascii="Arial" w:hAnsi="Arial" w:cs="Arial"/>
                <w:bCs/>
                <w:iCs/>
                <w:color w:val="FF0000"/>
              </w:rPr>
            </w:pPr>
            <w:r w:rsidRPr="00056142">
              <w:rPr>
                <w:rFonts w:ascii="Arial" w:hAnsi="Arial" w:cs="Arial"/>
                <w:bCs/>
                <w:iCs/>
              </w:rPr>
              <w:t xml:space="preserve">3 </w:t>
            </w:r>
            <w:r w:rsidRPr="00056142">
              <w:rPr>
                <w:rFonts w:ascii="Arial" w:hAnsi="Arial" w:cs="Arial"/>
                <w:bCs/>
                <w:i/>
                <w:iCs/>
              </w:rPr>
              <w:t>[2]</w:t>
            </w:r>
            <w:r w:rsidRPr="00056142">
              <w:rPr>
                <w:rFonts w:ascii="Arial" w:hAnsi="Arial" w:cs="Arial"/>
                <w:bCs/>
                <w:iCs/>
              </w:rPr>
              <w:t xml:space="preserve"> </w:t>
            </w:r>
          </w:p>
        </w:tc>
        <w:tc>
          <w:tcPr>
            <w:tcW w:w="2552"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Pr="00056142" w:rsidRDefault="00AE095A" w:rsidP="00AE095A">
            <w:pPr>
              <w:spacing w:after="0" w:line="240" w:lineRule="auto"/>
              <w:ind w:left="109" w:hanging="109"/>
              <w:jc w:val="center"/>
              <w:rPr>
                <w:rFonts w:ascii="Arial" w:hAnsi="Arial" w:cs="Arial"/>
                <w:bCs/>
                <w:iCs/>
              </w:rPr>
            </w:pPr>
            <w:r w:rsidRPr="00056142">
              <w:rPr>
                <w:rFonts w:ascii="Arial" w:hAnsi="Arial" w:cs="Arial"/>
                <w:bCs/>
                <w:iCs/>
              </w:rPr>
              <w:t xml:space="preserve">4 </w:t>
            </w:r>
            <w:r w:rsidRPr="00056142">
              <w:rPr>
                <w:rFonts w:ascii="Arial" w:hAnsi="Arial" w:cs="Arial"/>
                <w:bCs/>
                <w:i/>
                <w:iCs/>
              </w:rPr>
              <w:t>[5]</w:t>
            </w:r>
          </w:p>
        </w:tc>
        <w:tc>
          <w:tcPr>
            <w:tcW w:w="2268"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Pr="00056142" w:rsidRDefault="00AE095A" w:rsidP="00AE095A">
            <w:pPr>
              <w:spacing w:after="0" w:line="240" w:lineRule="auto"/>
              <w:jc w:val="center"/>
              <w:rPr>
                <w:rFonts w:ascii="Arial" w:hAnsi="Arial" w:cs="Arial"/>
                <w:bCs/>
                <w:iCs/>
              </w:rPr>
            </w:pPr>
            <w:r w:rsidRPr="00056142">
              <w:rPr>
                <w:rFonts w:ascii="Arial" w:hAnsi="Arial" w:cs="Arial"/>
                <w:bCs/>
                <w:iCs/>
              </w:rPr>
              <w:t xml:space="preserve">3 </w:t>
            </w:r>
            <w:r w:rsidRPr="00056142">
              <w:rPr>
                <w:rFonts w:ascii="Arial" w:hAnsi="Arial" w:cs="Arial"/>
                <w:bCs/>
                <w:i/>
                <w:iCs/>
              </w:rPr>
              <w:t>[1]</w:t>
            </w:r>
          </w:p>
        </w:tc>
        <w:tc>
          <w:tcPr>
            <w:tcW w:w="2335"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Pr="00056142" w:rsidRDefault="00AE095A" w:rsidP="00AE095A">
            <w:pPr>
              <w:spacing w:after="0" w:line="240" w:lineRule="auto"/>
              <w:jc w:val="center"/>
              <w:rPr>
                <w:rFonts w:ascii="Arial" w:hAnsi="Arial" w:cs="Arial"/>
                <w:bCs/>
                <w:iCs/>
              </w:rPr>
            </w:pPr>
            <w:r w:rsidRPr="00056142">
              <w:rPr>
                <w:rFonts w:ascii="Arial" w:hAnsi="Arial" w:cs="Arial"/>
                <w:bCs/>
                <w:iCs/>
              </w:rPr>
              <w:t xml:space="preserve">3 </w:t>
            </w:r>
            <w:r w:rsidRPr="00056142">
              <w:rPr>
                <w:rFonts w:ascii="Arial" w:hAnsi="Arial" w:cs="Arial"/>
                <w:bCs/>
                <w:i/>
                <w:iCs/>
              </w:rPr>
              <w:t>[2]</w:t>
            </w:r>
          </w:p>
        </w:tc>
        <w:tc>
          <w:tcPr>
            <w:tcW w:w="2563" w:type="dxa"/>
            <w:tcBorders>
              <w:top w:val="nil"/>
              <w:left w:val="single" w:sz="4" w:space="0" w:color="auto"/>
              <w:bottom w:val="single" w:sz="8" w:space="0" w:color="auto"/>
              <w:right w:val="single" w:sz="8" w:space="0" w:color="auto"/>
            </w:tcBorders>
            <w:tcMar>
              <w:top w:w="113" w:type="dxa"/>
              <w:left w:w="113" w:type="dxa"/>
              <w:bottom w:w="113" w:type="dxa"/>
              <w:right w:w="113" w:type="dxa"/>
            </w:tcMar>
            <w:vAlign w:val="center"/>
          </w:tcPr>
          <w:p w:rsidR="00AE095A" w:rsidRPr="00056142" w:rsidRDefault="00AE095A" w:rsidP="00AE095A">
            <w:pPr>
              <w:spacing w:after="0" w:line="240" w:lineRule="auto"/>
              <w:jc w:val="center"/>
              <w:rPr>
                <w:rFonts w:ascii="Arial" w:hAnsi="Arial" w:cs="Arial"/>
                <w:bCs/>
                <w:iCs/>
              </w:rPr>
            </w:pPr>
            <w:r>
              <w:rPr>
                <w:rFonts w:ascii="Arial" w:hAnsi="Arial" w:cs="Arial"/>
                <w:bCs/>
                <w:iCs/>
              </w:rPr>
              <w:t>13 [</w:t>
            </w:r>
            <w:r w:rsidRPr="00056142">
              <w:rPr>
                <w:rFonts w:ascii="Arial" w:hAnsi="Arial" w:cs="Arial"/>
                <w:bCs/>
                <w:iCs/>
              </w:rPr>
              <w:t>10</w:t>
            </w:r>
            <w:r>
              <w:rPr>
                <w:rFonts w:ascii="Arial" w:hAnsi="Arial" w:cs="Arial"/>
                <w:bCs/>
                <w:iCs/>
              </w:rPr>
              <w:t>]</w:t>
            </w:r>
          </w:p>
        </w:tc>
      </w:tr>
      <w:tr w:rsidR="00AE095A" w:rsidRPr="00056142" w:rsidTr="00AE095A">
        <w:trPr>
          <w:trHeight w:val="20"/>
        </w:trPr>
        <w:tc>
          <w:tcPr>
            <w:tcW w:w="3251" w:type="dxa"/>
            <w:tcBorders>
              <w:top w:val="nil"/>
              <w:left w:val="single" w:sz="8" w:space="0" w:color="auto"/>
              <w:bottom w:val="single" w:sz="8" w:space="0" w:color="auto"/>
              <w:right w:val="single" w:sz="8" w:space="0" w:color="auto"/>
            </w:tcBorders>
            <w:tcMar>
              <w:top w:w="113" w:type="dxa"/>
              <w:left w:w="113" w:type="dxa"/>
              <w:bottom w:w="113" w:type="dxa"/>
              <w:right w:w="113" w:type="dxa"/>
            </w:tcMar>
            <w:vAlign w:val="center"/>
            <w:hideMark/>
          </w:tcPr>
          <w:p w:rsidR="00AE095A" w:rsidRPr="00056142" w:rsidRDefault="00AE095A" w:rsidP="00AE095A">
            <w:pPr>
              <w:spacing w:after="0" w:line="240" w:lineRule="auto"/>
              <w:rPr>
                <w:rFonts w:ascii="Arial" w:hAnsi="Arial" w:cs="Arial"/>
                <w:b/>
                <w:bCs/>
                <w:iCs/>
              </w:rPr>
            </w:pPr>
            <w:r w:rsidRPr="00056142">
              <w:rPr>
                <w:rFonts w:ascii="Arial" w:hAnsi="Arial" w:cs="Arial"/>
                <w:b/>
                <w:bCs/>
                <w:iCs/>
              </w:rPr>
              <w:t>Curriculum enhancement internships</w:t>
            </w:r>
            <w:r>
              <w:rPr>
                <w:rFonts w:ascii="Arial" w:hAnsi="Arial" w:cs="Arial"/>
                <w:b/>
                <w:bCs/>
                <w:iCs/>
              </w:rPr>
              <w:t xml:space="preserve"> and total funding</w:t>
            </w:r>
            <w:r w:rsidRPr="00056142">
              <w:rPr>
                <w:rFonts w:ascii="Arial" w:hAnsi="Arial" w:cs="Arial"/>
                <w:b/>
                <w:bCs/>
                <w:iCs/>
              </w:rPr>
              <w:t xml:space="preserve"> </w:t>
            </w:r>
            <w:r w:rsidRPr="00056142">
              <w:rPr>
                <w:rFonts w:ascii="Arial" w:hAnsi="Arial" w:cs="Arial"/>
                <w:bCs/>
                <w:iCs/>
              </w:rPr>
              <w:t>(number of students in brackets)</w:t>
            </w:r>
          </w:p>
        </w:tc>
        <w:tc>
          <w:tcPr>
            <w:tcW w:w="2409"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Default="00AE095A" w:rsidP="00AE095A">
            <w:pPr>
              <w:spacing w:after="0" w:line="240" w:lineRule="auto"/>
              <w:jc w:val="center"/>
              <w:rPr>
                <w:rFonts w:ascii="Arial" w:hAnsi="Arial" w:cs="Arial"/>
                <w:bCs/>
              </w:rPr>
            </w:pPr>
            <w:r w:rsidRPr="00056142">
              <w:rPr>
                <w:rFonts w:ascii="Arial" w:hAnsi="Arial" w:cs="Arial"/>
                <w:bCs/>
              </w:rPr>
              <w:t xml:space="preserve">6 (20) </w:t>
            </w:r>
            <w:r w:rsidRPr="00AB0EBC">
              <w:rPr>
                <w:rFonts w:ascii="Arial" w:hAnsi="Arial" w:cs="Arial"/>
                <w:bCs/>
              </w:rPr>
              <w:t>£25, 781.60</w:t>
            </w:r>
          </w:p>
          <w:p w:rsidR="00AE095A" w:rsidRPr="00056142" w:rsidRDefault="00AE095A" w:rsidP="00AE095A">
            <w:pPr>
              <w:spacing w:after="0" w:line="240" w:lineRule="auto"/>
              <w:jc w:val="center"/>
              <w:rPr>
                <w:rFonts w:ascii="Arial" w:hAnsi="Arial" w:cs="Arial"/>
                <w:bCs/>
              </w:rPr>
            </w:pPr>
            <w:r w:rsidRPr="00056142">
              <w:rPr>
                <w:rFonts w:ascii="Arial" w:hAnsi="Arial" w:cs="Arial"/>
                <w:bCs/>
                <w:i/>
              </w:rPr>
              <w:t>[2 (8)</w:t>
            </w:r>
            <w:r>
              <w:rPr>
                <w:rFonts w:ascii="Arial" w:hAnsi="Arial" w:cs="Arial"/>
                <w:bCs/>
                <w:i/>
              </w:rPr>
              <w:t xml:space="preserve">  £8,538.00]</w:t>
            </w:r>
          </w:p>
        </w:tc>
        <w:tc>
          <w:tcPr>
            <w:tcW w:w="2552"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Default="00AE095A" w:rsidP="00AE095A">
            <w:pPr>
              <w:spacing w:after="0" w:line="240" w:lineRule="auto"/>
              <w:ind w:left="109" w:hanging="109"/>
              <w:jc w:val="center"/>
              <w:rPr>
                <w:rFonts w:ascii="Arial" w:hAnsi="Arial" w:cs="Arial"/>
              </w:rPr>
            </w:pPr>
            <w:r w:rsidRPr="00056142">
              <w:rPr>
                <w:rFonts w:ascii="Arial" w:hAnsi="Arial" w:cs="Arial"/>
              </w:rPr>
              <w:t xml:space="preserve">6 (12) </w:t>
            </w:r>
            <w:r w:rsidRPr="00AB0EBC">
              <w:rPr>
                <w:rFonts w:ascii="Arial" w:hAnsi="Arial" w:cs="Arial"/>
              </w:rPr>
              <w:t xml:space="preserve">£22, 422.40 </w:t>
            </w:r>
          </w:p>
          <w:p w:rsidR="00AE095A" w:rsidRPr="00056142" w:rsidRDefault="00AE095A" w:rsidP="00AE095A">
            <w:pPr>
              <w:spacing w:after="0" w:line="240" w:lineRule="auto"/>
              <w:ind w:left="109" w:hanging="109"/>
              <w:jc w:val="center"/>
              <w:rPr>
                <w:rFonts w:ascii="Arial" w:hAnsi="Arial" w:cs="Arial"/>
              </w:rPr>
            </w:pPr>
            <w:r w:rsidRPr="00056142">
              <w:rPr>
                <w:rFonts w:ascii="Arial" w:hAnsi="Arial" w:cs="Arial"/>
                <w:i/>
              </w:rPr>
              <w:t>[6 (9)</w:t>
            </w:r>
            <w:r>
              <w:rPr>
                <w:rFonts w:ascii="Arial" w:hAnsi="Arial" w:cs="Arial"/>
                <w:i/>
              </w:rPr>
              <w:t xml:space="preserve"> </w:t>
            </w:r>
            <w:r w:rsidRPr="00DE084E">
              <w:rPr>
                <w:rFonts w:ascii="Arial" w:hAnsi="Arial" w:cs="Arial"/>
                <w:i/>
              </w:rPr>
              <w:t>£13, 695.00</w:t>
            </w:r>
            <w:r w:rsidRPr="00056142">
              <w:rPr>
                <w:rFonts w:ascii="Arial" w:hAnsi="Arial" w:cs="Arial"/>
                <w:i/>
              </w:rPr>
              <w:t>]</w:t>
            </w:r>
          </w:p>
        </w:tc>
        <w:tc>
          <w:tcPr>
            <w:tcW w:w="2268"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Default="00AE095A" w:rsidP="00AE095A">
            <w:pPr>
              <w:spacing w:after="0" w:line="240" w:lineRule="auto"/>
              <w:jc w:val="center"/>
              <w:rPr>
                <w:rFonts w:ascii="Arial" w:hAnsi="Arial" w:cs="Arial"/>
                <w:bCs/>
              </w:rPr>
            </w:pPr>
            <w:r w:rsidRPr="00056142">
              <w:rPr>
                <w:rFonts w:ascii="Arial" w:hAnsi="Arial" w:cs="Arial"/>
                <w:bCs/>
              </w:rPr>
              <w:t xml:space="preserve">5 (9) </w:t>
            </w:r>
            <w:r w:rsidRPr="00AB0EBC">
              <w:rPr>
                <w:rFonts w:ascii="Arial" w:hAnsi="Arial" w:cs="Arial"/>
                <w:bCs/>
              </w:rPr>
              <w:t>£23, 296.00</w:t>
            </w:r>
          </w:p>
          <w:p w:rsidR="00AE095A" w:rsidRPr="00056142" w:rsidRDefault="00AE095A" w:rsidP="00AE095A">
            <w:pPr>
              <w:spacing w:after="0" w:line="240" w:lineRule="auto"/>
              <w:jc w:val="center"/>
              <w:rPr>
                <w:rFonts w:ascii="Arial" w:hAnsi="Arial" w:cs="Arial"/>
                <w:bCs/>
              </w:rPr>
            </w:pPr>
            <w:r w:rsidRPr="00056142">
              <w:rPr>
                <w:rFonts w:ascii="Arial" w:hAnsi="Arial" w:cs="Arial"/>
                <w:bCs/>
                <w:i/>
              </w:rPr>
              <w:t>[6 (9)</w:t>
            </w:r>
            <w:r>
              <w:rPr>
                <w:rFonts w:ascii="Arial" w:hAnsi="Arial" w:cs="Arial"/>
                <w:bCs/>
                <w:i/>
              </w:rPr>
              <w:t xml:space="preserve"> £21,045.</w:t>
            </w:r>
            <w:r w:rsidRPr="00DE084E">
              <w:rPr>
                <w:rFonts w:ascii="Arial" w:hAnsi="Arial" w:cs="Arial"/>
                <w:bCs/>
                <w:i/>
              </w:rPr>
              <w:t>00 ]</w:t>
            </w:r>
          </w:p>
        </w:tc>
        <w:tc>
          <w:tcPr>
            <w:tcW w:w="2335"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Default="00AE095A" w:rsidP="00AE095A">
            <w:pPr>
              <w:spacing w:after="0" w:line="240" w:lineRule="auto"/>
              <w:jc w:val="center"/>
              <w:rPr>
                <w:rFonts w:ascii="Arial" w:hAnsi="Arial" w:cs="Arial"/>
                <w:bCs/>
              </w:rPr>
            </w:pPr>
            <w:r w:rsidRPr="00056142">
              <w:rPr>
                <w:rFonts w:ascii="Arial" w:hAnsi="Arial" w:cs="Arial"/>
                <w:bCs/>
              </w:rPr>
              <w:t>5</w:t>
            </w:r>
            <w:r>
              <w:rPr>
                <w:rFonts w:ascii="Arial" w:hAnsi="Arial" w:cs="Arial"/>
                <w:bCs/>
              </w:rPr>
              <w:t>*</w:t>
            </w:r>
            <w:r w:rsidRPr="00056142">
              <w:rPr>
                <w:rFonts w:ascii="Arial" w:hAnsi="Arial" w:cs="Arial"/>
                <w:bCs/>
              </w:rPr>
              <w:t xml:space="preserve"> (7) </w:t>
            </w:r>
            <w:r w:rsidRPr="00AB0EBC">
              <w:rPr>
                <w:rFonts w:ascii="Arial" w:hAnsi="Arial" w:cs="Arial"/>
                <w:bCs/>
              </w:rPr>
              <w:t>£19, 656.00</w:t>
            </w:r>
          </w:p>
          <w:p w:rsidR="00AE095A" w:rsidRPr="00056142" w:rsidRDefault="00AE095A" w:rsidP="00AE095A">
            <w:pPr>
              <w:spacing w:after="0" w:line="240" w:lineRule="auto"/>
              <w:jc w:val="center"/>
              <w:rPr>
                <w:rFonts w:ascii="Arial" w:hAnsi="Arial" w:cs="Arial"/>
                <w:bCs/>
              </w:rPr>
            </w:pPr>
            <w:r w:rsidRPr="00056142">
              <w:rPr>
                <w:rFonts w:ascii="Arial" w:hAnsi="Arial" w:cs="Arial"/>
                <w:bCs/>
                <w:i/>
              </w:rPr>
              <w:t>[2 (2)</w:t>
            </w:r>
            <w:r>
              <w:rPr>
                <w:rFonts w:ascii="Arial" w:hAnsi="Arial" w:cs="Arial"/>
                <w:bCs/>
                <w:i/>
              </w:rPr>
              <w:t xml:space="preserve"> </w:t>
            </w:r>
            <w:r w:rsidRPr="00DE084E">
              <w:rPr>
                <w:rFonts w:ascii="Arial" w:hAnsi="Arial" w:cs="Arial"/>
                <w:bCs/>
                <w:i/>
              </w:rPr>
              <w:t>£4,836.00 ]</w:t>
            </w:r>
          </w:p>
        </w:tc>
        <w:tc>
          <w:tcPr>
            <w:tcW w:w="2563" w:type="dxa"/>
            <w:tcBorders>
              <w:top w:val="nil"/>
              <w:left w:val="single" w:sz="4" w:space="0" w:color="auto"/>
              <w:bottom w:val="single" w:sz="8" w:space="0" w:color="auto"/>
              <w:right w:val="single" w:sz="8" w:space="0" w:color="auto"/>
            </w:tcBorders>
            <w:tcMar>
              <w:top w:w="113" w:type="dxa"/>
              <w:left w:w="113" w:type="dxa"/>
              <w:bottom w:w="113" w:type="dxa"/>
              <w:right w:w="113" w:type="dxa"/>
            </w:tcMar>
            <w:vAlign w:val="center"/>
          </w:tcPr>
          <w:p w:rsidR="00AE095A" w:rsidRDefault="00AE095A" w:rsidP="00AE095A">
            <w:pPr>
              <w:spacing w:after="0" w:line="240" w:lineRule="auto"/>
              <w:jc w:val="center"/>
              <w:rPr>
                <w:rFonts w:ascii="Arial" w:hAnsi="Arial" w:cs="Arial"/>
                <w:bCs/>
              </w:rPr>
            </w:pPr>
            <w:r w:rsidRPr="00056142">
              <w:rPr>
                <w:rFonts w:ascii="Arial" w:hAnsi="Arial" w:cs="Arial"/>
                <w:bCs/>
              </w:rPr>
              <w:t xml:space="preserve">22 (48) </w:t>
            </w:r>
            <w:r w:rsidRPr="00445DE3">
              <w:rPr>
                <w:rFonts w:ascii="Arial" w:hAnsi="Arial" w:cs="Arial"/>
                <w:bCs/>
              </w:rPr>
              <w:t>£91, 156.00</w:t>
            </w:r>
            <w:r>
              <w:rPr>
                <w:rFonts w:ascii="Arial" w:hAnsi="Arial" w:cs="Arial"/>
                <w:bCs/>
              </w:rPr>
              <w:t xml:space="preserve"> </w:t>
            </w:r>
          </w:p>
          <w:p w:rsidR="00AE095A" w:rsidRPr="00056142" w:rsidRDefault="00AE095A" w:rsidP="00AE095A">
            <w:pPr>
              <w:spacing w:after="0" w:line="240" w:lineRule="auto"/>
              <w:jc w:val="center"/>
              <w:rPr>
                <w:rFonts w:ascii="Arial" w:hAnsi="Arial" w:cs="Arial"/>
                <w:bCs/>
              </w:rPr>
            </w:pPr>
            <w:r w:rsidRPr="00056142">
              <w:rPr>
                <w:rFonts w:ascii="Arial" w:hAnsi="Arial" w:cs="Arial"/>
                <w:bCs/>
                <w:i/>
              </w:rPr>
              <w:t>[17</w:t>
            </w:r>
            <w:r>
              <w:rPr>
                <w:rFonts w:ascii="Arial" w:hAnsi="Arial" w:cs="Arial"/>
                <w:bCs/>
                <w:i/>
              </w:rPr>
              <w:t>**</w:t>
            </w:r>
            <w:r w:rsidRPr="00056142">
              <w:rPr>
                <w:rFonts w:ascii="Arial" w:hAnsi="Arial" w:cs="Arial"/>
                <w:bCs/>
                <w:i/>
              </w:rPr>
              <w:t xml:space="preserve"> (29</w:t>
            </w:r>
            <w:r>
              <w:rPr>
                <w:rFonts w:ascii="Arial" w:hAnsi="Arial" w:cs="Arial"/>
                <w:bCs/>
                <w:i/>
              </w:rPr>
              <w:t xml:space="preserve">) </w:t>
            </w:r>
            <w:r w:rsidRPr="00DE084E">
              <w:rPr>
                <w:rFonts w:ascii="Arial" w:hAnsi="Arial" w:cs="Arial"/>
                <w:bCs/>
                <w:i/>
              </w:rPr>
              <w:t>£51, 099.00</w:t>
            </w:r>
            <w:r w:rsidRPr="00056142">
              <w:rPr>
                <w:rFonts w:ascii="Arial" w:hAnsi="Arial" w:cs="Arial"/>
                <w:bCs/>
                <w:i/>
              </w:rPr>
              <w:t>]</w:t>
            </w:r>
          </w:p>
        </w:tc>
      </w:tr>
      <w:tr w:rsidR="00AE095A" w:rsidRPr="00056142" w:rsidTr="00AE095A">
        <w:trPr>
          <w:trHeight w:val="20"/>
        </w:trPr>
        <w:tc>
          <w:tcPr>
            <w:tcW w:w="3251" w:type="dxa"/>
            <w:tcBorders>
              <w:top w:val="nil"/>
              <w:left w:val="single" w:sz="8" w:space="0" w:color="auto"/>
              <w:bottom w:val="single" w:sz="8" w:space="0" w:color="auto"/>
              <w:right w:val="single" w:sz="8" w:space="0" w:color="auto"/>
            </w:tcBorders>
            <w:tcMar>
              <w:top w:w="113" w:type="dxa"/>
              <w:left w:w="113" w:type="dxa"/>
              <w:bottom w:w="113" w:type="dxa"/>
              <w:right w:w="113" w:type="dxa"/>
            </w:tcMar>
            <w:vAlign w:val="center"/>
            <w:hideMark/>
          </w:tcPr>
          <w:p w:rsidR="00AE095A" w:rsidRPr="00056142" w:rsidRDefault="00AE095A" w:rsidP="00AE095A">
            <w:pPr>
              <w:spacing w:after="0" w:line="240" w:lineRule="auto"/>
              <w:rPr>
                <w:rFonts w:ascii="Arial" w:hAnsi="Arial" w:cs="Arial"/>
                <w:b/>
                <w:bCs/>
                <w:iCs/>
              </w:rPr>
            </w:pPr>
            <w:r w:rsidRPr="00056142">
              <w:rPr>
                <w:rFonts w:ascii="Arial" w:hAnsi="Arial" w:cs="Arial"/>
                <w:b/>
                <w:bCs/>
                <w:iCs/>
              </w:rPr>
              <w:t>Curriculum Enhancement Projects (2014 – 2015)</w:t>
            </w:r>
            <w:r>
              <w:rPr>
                <w:rFonts w:ascii="Arial" w:hAnsi="Arial" w:cs="Arial"/>
                <w:b/>
                <w:bCs/>
                <w:iCs/>
              </w:rPr>
              <w:t xml:space="preserve"> number </w:t>
            </w:r>
            <w:r w:rsidRPr="00445DE3">
              <w:rPr>
                <w:rFonts w:ascii="Arial" w:hAnsi="Arial" w:cs="Arial"/>
                <w:b/>
                <w:bCs/>
                <w:iCs/>
              </w:rPr>
              <w:t>and total funding</w:t>
            </w:r>
          </w:p>
        </w:tc>
        <w:tc>
          <w:tcPr>
            <w:tcW w:w="2409" w:type="dxa"/>
            <w:tcBorders>
              <w:top w:val="nil"/>
              <w:left w:val="nil"/>
              <w:bottom w:val="single" w:sz="8" w:space="0" w:color="auto"/>
              <w:right w:val="single" w:sz="8" w:space="0" w:color="auto"/>
            </w:tcBorders>
            <w:tcMar>
              <w:top w:w="113" w:type="dxa"/>
              <w:left w:w="113" w:type="dxa"/>
              <w:bottom w:w="113" w:type="dxa"/>
              <w:right w:w="113" w:type="dxa"/>
            </w:tcMar>
            <w:vAlign w:val="center"/>
            <w:hideMark/>
          </w:tcPr>
          <w:p w:rsidR="00AE095A" w:rsidRPr="00056142" w:rsidRDefault="00AE095A" w:rsidP="00AE095A">
            <w:pPr>
              <w:spacing w:after="0" w:line="240" w:lineRule="auto"/>
              <w:jc w:val="center"/>
              <w:rPr>
                <w:rFonts w:ascii="Arial" w:hAnsi="Arial" w:cs="Arial"/>
                <w:bCs/>
                <w:iCs/>
              </w:rPr>
            </w:pPr>
            <w:r w:rsidRPr="00056142">
              <w:rPr>
                <w:rFonts w:ascii="Arial" w:hAnsi="Arial" w:cs="Arial"/>
                <w:bCs/>
                <w:iCs/>
              </w:rPr>
              <w:t>5</w:t>
            </w:r>
            <w:r>
              <w:rPr>
                <w:rFonts w:ascii="Arial" w:hAnsi="Arial" w:cs="Arial"/>
                <w:bCs/>
                <w:iCs/>
              </w:rPr>
              <w:t xml:space="preserve"> -</w:t>
            </w:r>
            <w:r w:rsidRPr="00056142">
              <w:rPr>
                <w:rFonts w:ascii="Arial" w:hAnsi="Arial" w:cs="Arial"/>
                <w:bCs/>
                <w:iCs/>
              </w:rPr>
              <w:t xml:space="preserve"> £29, 886.20</w:t>
            </w:r>
          </w:p>
        </w:tc>
        <w:tc>
          <w:tcPr>
            <w:tcW w:w="2552" w:type="dxa"/>
            <w:tcBorders>
              <w:top w:val="nil"/>
              <w:left w:val="nil"/>
              <w:bottom w:val="single" w:sz="8" w:space="0" w:color="auto"/>
              <w:right w:val="single" w:sz="8" w:space="0" w:color="auto"/>
            </w:tcBorders>
            <w:shd w:val="clear" w:color="auto" w:fill="auto"/>
            <w:tcMar>
              <w:top w:w="113" w:type="dxa"/>
              <w:left w:w="113" w:type="dxa"/>
              <w:bottom w:w="113" w:type="dxa"/>
              <w:right w:w="113" w:type="dxa"/>
            </w:tcMar>
            <w:vAlign w:val="center"/>
          </w:tcPr>
          <w:p w:rsidR="00AE095A" w:rsidRPr="00056142" w:rsidRDefault="00AE095A" w:rsidP="00AE095A">
            <w:pPr>
              <w:spacing w:after="0" w:line="240" w:lineRule="auto"/>
              <w:ind w:left="109" w:hanging="109"/>
              <w:jc w:val="center"/>
              <w:rPr>
                <w:rFonts w:ascii="Arial" w:hAnsi="Arial" w:cs="Arial"/>
                <w:bCs/>
                <w:iCs/>
              </w:rPr>
            </w:pPr>
            <w:r>
              <w:rPr>
                <w:rFonts w:ascii="Arial" w:hAnsi="Arial" w:cs="Arial"/>
                <w:bCs/>
                <w:iCs/>
              </w:rPr>
              <w:t>6 -</w:t>
            </w:r>
            <w:r w:rsidRPr="00056142">
              <w:rPr>
                <w:rFonts w:ascii="Arial" w:hAnsi="Arial" w:cs="Arial"/>
                <w:bCs/>
                <w:iCs/>
              </w:rPr>
              <w:t xml:space="preserve"> £62, 15</w:t>
            </w:r>
            <w:r>
              <w:rPr>
                <w:rFonts w:ascii="Arial" w:hAnsi="Arial" w:cs="Arial"/>
                <w:bCs/>
                <w:iCs/>
              </w:rPr>
              <w:t>2</w:t>
            </w:r>
            <w:r w:rsidRPr="00056142">
              <w:rPr>
                <w:rFonts w:ascii="Arial" w:hAnsi="Arial" w:cs="Arial"/>
                <w:bCs/>
                <w:iCs/>
              </w:rPr>
              <w:t>.54</w:t>
            </w:r>
          </w:p>
        </w:tc>
        <w:tc>
          <w:tcPr>
            <w:tcW w:w="2268"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Pr="00056142" w:rsidRDefault="00AE095A" w:rsidP="00AE095A">
            <w:pPr>
              <w:spacing w:after="0" w:line="240" w:lineRule="auto"/>
              <w:jc w:val="center"/>
              <w:rPr>
                <w:rFonts w:ascii="Arial" w:hAnsi="Arial" w:cs="Arial"/>
                <w:bCs/>
                <w:iCs/>
              </w:rPr>
            </w:pPr>
            <w:r>
              <w:rPr>
                <w:rFonts w:ascii="Arial" w:hAnsi="Arial" w:cs="Arial"/>
                <w:bCs/>
                <w:iCs/>
              </w:rPr>
              <w:t>3 -</w:t>
            </w:r>
            <w:r w:rsidRPr="00056142">
              <w:rPr>
                <w:rFonts w:ascii="Arial" w:hAnsi="Arial" w:cs="Arial"/>
                <w:bCs/>
                <w:iCs/>
              </w:rPr>
              <w:t xml:space="preserve"> £36, 294.98</w:t>
            </w:r>
          </w:p>
        </w:tc>
        <w:tc>
          <w:tcPr>
            <w:tcW w:w="2335"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Pr="00056142" w:rsidRDefault="00AE095A" w:rsidP="00AE095A">
            <w:pPr>
              <w:spacing w:after="0" w:line="240" w:lineRule="auto"/>
              <w:jc w:val="center"/>
              <w:rPr>
                <w:rFonts w:ascii="Arial" w:hAnsi="Arial" w:cs="Arial"/>
                <w:bCs/>
                <w:iCs/>
              </w:rPr>
            </w:pPr>
            <w:r w:rsidRPr="00056142">
              <w:rPr>
                <w:rFonts w:ascii="Arial" w:hAnsi="Arial" w:cs="Arial"/>
                <w:bCs/>
                <w:iCs/>
              </w:rPr>
              <w:t>12</w:t>
            </w:r>
            <w:r>
              <w:rPr>
                <w:rFonts w:ascii="Arial" w:hAnsi="Arial" w:cs="Arial"/>
                <w:bCs/>
                <w:iCs/>
              </w:rPr>
              <w:t>*** -</w:t>
            </w:r>
            <w:r w:rsidRPr="00056142">
              <w:rPr>
                <w:rFonts w:ascii="Arial" w:hAnsi="Arial" w:cs="Arial"/>
                <w:bCs/>
                <w:iCs/>
              </w:rPr>
              <w:t xml:space="preserve"> £32, 630.80</w:t>
            </w:r>
          </w:p>
        </w:tc>
        <w:tc>
          <w:tcPr>
            <w:tcW w:w="2563" w:type="dxa"/>
            <w:tcBorders>
              <w:top w:val="nil"/>
              <w:left w:val="single" w:sz="4" w:space="0" w:color="auto"/>
              <w:bottom w:val="single" w:sz="8" w:space="0" w:color="auto"/>
              <w:right w:val="single" w:sz="8" w:space="0" w:color="auto"/>
            </w:tcBorders>
            <w:tcMar>
              <w:top w:w="113" w:type="dxa"/>
              <w:left w:w="113" w:type="dxa"/>
              <w:bottom w:w="113" w:type="dxa"/>
              <w:right w:w="113" w:type="dxa"/>
            </w:tcMar>
            <w:vAlign w:val="center"/>
          </w:tcPr>
          <w:p w:rsidR="00AE095A" w:rsidRPr="00056142" w:rsidRDefault="00AE095A" w:rsidP="00AE095A">
            <w:pPr>
              <w:spacing w:after="0" w:line="240" w:lineRule="auto"/>
              <w:jc w:val="center"/>
              <w:rPr>
                <w:rFonts w:ascii="Arial" w:hAnsi="Arial" w:cs="Arial"/>
                <w:bCs/>
                <w:iCs/>
              </w:rPr>
            </w:pPr>
            <w:r w:rsidRPr="00056142">
              <w:rPr>
                <w:rFonts w:ascii="Arial" w:hAnsi="Arial" w:cs="Arial"/>
                <w:bCs/>
                <w:iCs/>
              </w:rPr>
              <w:t>16</w:t>
            </w:r>
            <w:r>
              <w:rPr>
                <w:rFonts w:ascii="Arial" w:hAnsi="Arial" w:cs="Arial"/>
                <w:bCs/>
                <w:iCs/>
              </w:rPr>
              <w:t xml:space="preserve"> -</w:t>
            </w:r>
            <w:r w:rsidRPr="00056142">
              <w:rPr>
                <w:rFonts w:ascii="Arial" w:hAnsi="Arial" w:cs="Arial"/>
                <w:bCs/>
                <w:iCs/>
              </w:rPr>
              <w:t xml:space="preserve"> £160, 964.52</w:t>
            </w:r>
          </w:p>
        </w:tc>
      </w:tr>
      <w:tr w:rsidR="00AE095A" w:rsidRPr="00056142" w:rsidTr="001B5462">
        <w:trPr>
          <w:trHeight w:val="1139"/>
        </w:trPr>
        <w:tc>
          <w:tcPr>
            <w:tcW w:w="3251" w:type="dxa"/>
            <w:tcBorders>
              <w:top w:val="nil"/>
              <w:left w:val="single" w:sz="8" w:space="0" w:color="auto"/>
              <w:bottom w:val="single" w:sz="8" w:space="0" w:color="auto"/>
              <w:right w:val="single" w:sz="8" w:space="0" w:color="auto"/>
            </w:tcBorders>
            <w:tcMar>
              <w:top w:w="113" w:type="dxa"/>
              <w:left w:w="113" w:type="dxa"/>
              <w:bottom w:w="113" w:type="dxa"/>
              <w:right w:w="113" w:type="dxa"/>
            </w:tcMar>
            <w:vAlign w:val="center"/>
            <w:hideMark/>
          </w:tcPr>
          <w:p w:rsidR="00AE095A" w:rsidRPr="00056142" w:rsidRDefault="00AE095A" w:rsidP="00AE095A">
            <w:pPr>
              <w:spacing w:after="0" w:line="240" w:lineRule="auto"/>
              <w:rPr>
                <w:rFonts w:ascii="Arial" w:hAnsi="Arial" w:cs="Arial"/>
                <w:b/>
                <w:bCs/>
                <w:iCs/>
              </w:rPr>
            </w:pPr>
            <w:r w:rsidRPr="00056142">
              <w:rPr>
                <w:rFonts w:ascii="Arial" w:hAnsi="Arial" w:cs="Arial"/>
                <w:b/>
                <w:bCs/>
                <w:iCs/>
              </w:rPr>
              <w:t>No. academic s</w:t>
            </w:r>
            <w:r>
              <w:rPr>
                <w:rFonts w:ascii="Arial" w:hAnsi="Arial" w:cs="Arial"/>
                <w:b/>
                <w:bCs/>
                <w:iCs/>
              </w:rPr>
              <w:t xml:space="preserve">taff achieved, and no. working towards qualification or recognition </w:t>
            </w:r>
            <w:r w:rsidRPr="00056142">
              <w:rPr>
                <w:rFonts w:ascii="Arial" w:hAnsi="Arial" w:cs="Arial"/>
                <w:b/>
                <w:bCs/>
                <w:iCs/>
              </w:rPr>
              <w:t xml:space="preserve"> </w:t>
            </w:r>
          </w:p>
        </w:tc>
        <w:tc>
          <w:tcPr>
            <w:tcW w:w="2409" w:type="dxa"/>
            <w:tcBorders>
              <w:top w:val="nil"/>
              <w:left w:val="nil"/>
              <w:bottom w:val="single" w:sz="8" w:space="0" w:color="auto"/>
              <w:right w:val="single" w:sz="8" w:space="0" w:color="auto"/>
            </w:tcBorders>
            <w:tcMar>
              <w:top w:w="113" w:type="dxa"/>
              <w:left w:w="113" w:type="dxa"/>
              <w:bottom w:w="113" w:type="dxa"/>
              <w:right w:w="113" w:type="dxa"/>
            </w:tcMar>
            <w:vAlign w:val="center"/>
            <w:hideMark/>
          </w:tcPr>
          <w:p w:rsidR="00AE095A" w:rsidRPr="00056142" w:rsidRDefault="00AE095A" w:rsidP="00AE095A">
            <w:pPr>
              <w:spacing w:after="0" w:line="240" w:lineRule="auto"/>
              <w:jc w:val="center"/>
              <w:rPr>
                <w:rFonts w:ascii="Arial" w:hAnsi="Arial" w:cs="Arial"/>
                <w:bCs/>
                <w:iCs/>
              </w:rPr>
            </w:pPr>
            <w:r>
              <w:rPr>
                <w:rFonts w:ascii="Arial" w:hAnsi="Arial" w:cs="Arial"/>
                <w:bCs/>
                <w:iCs/>
              </w:rPr>
              <w:t>214</w:t>
            </w:r>
            <w:r w:rsidRPr="00056142">
              <w:rPr>
                <w:rFonts w:ascii="Arial" w:hAnsi="Arial" w:cs="Arial"/>
                <w:bCs/>
                <w:iCs/>
              </w:rPr>
              <w:t xml:space="preserve"> (6</w:t>
            </w:r>
            <w:r>
              <w:rPr>
                <w:rFonts w:ascii="Arial" w:hAnsi="Arial" w:cs="Arial"/>
                <w:bCs/>
                <w:iCs/>
              </w:rPr>
              <w:t>7</w:t>
            </w:r>
            <w:r w:rsidRPr="00056142">
              <w:rPr>
                <w:rFonts w:ascii="Arial" w:hAnsi="Arial" w:cs="Arial"/>
                <w:bCs/>
                <w:iCs/>
              </w:rPr>
              <w:t>%)</w:t>
            </w:r>
          </w:p>
          <w:p w:rsidR="00AE095A" w:rsidRPr="00056142" w:rsidRDefault="00AE095A" w:rsidP="00AE095A">
            <w:pPr>
              <w:spacing w:after="0" w:line="240" w:lineRule="auto"/>
              <w:jc w:val="center"/>
              <w:rPr>
                <w:rFonts w:ascii="Arial" w:hAnsi="Arial" w:cs="Arial"/>
                <w:bCs/>
                <w:iCs/>
              </w:rPr>
            </w:pPr>
            <w:r w:rsidRPr="00056142">
              <w:rPr>
                <w:rFonts w:ascii="Arial" w:hAnsi="Arial" w:cs="Arial"/>
                <w:bCs/>
                <w:i/>
                <w:iCs/>
              </w:rPr>
              <w:t>[191 (62%)]</w:t>
            </w:r>
          </w:p>
        </w:tc>
        <w:tc>
          <w:tcPr>
            <w:tcW w:w="2552"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Pr="00056142" w:rsidRDefault="00AE095A" w:rsidP="00AE095A">
            <w:pPr>
              <w:spacing w:after="0" w:line="240" w:lineRule="auto"/>
              <w:ind w:left="109" w:hanging="109"/>
              <w:jc w:val="center"/>
              <w:rPr>
                <w:rFonts w:ascii="Arial" w:hAnsi="Arial" w:cs="Arial"/>
                <w:bCs/>
                <w:iCs/>
              </w:rPr>
            </w:pPr>
            <w:r>
              <w:rPr>
                <w:rFonts w:ascii="Arial" w:hAnsi="Arial" w:cs="Arial"/>
                <w:bCs/>
                <w:iCs/>
              </w:rPr>
              <w:t>180</w:t>
            </w:r>
            <w:r w:rsidRPr="00056142">
              <w:rPr>
                <w:rFonts w:ascii="Arial" w:hAnsi="Arial" w:cs="Arial"/>
                <w:bCs/>
                <w:iCs/>
              </w:rPr>
              <w:t xml:space="preserve"> (8</w:t>
            </w:r>
            <w:r>
              <w:rPr>
                <w:rFonts w:ascii="Arial" w:hAnsi="Arial" w:cs="Arial"/>
                <w:bCs/>
                <w:iCs/>
              </w:rPr>
              <w:t>8</w:t>
            </w:r>
            <w:r w:rsidRPr="00056142">
              <w:rPr>
                <w:rFonts w:ascii="Arial" w:hAnsi="Arial" w:cs="Arial"/>
                <w:bCs/>
                <w:iCs/>
              </w:rPr>
              <w:t>%)</w:t>
            </w:r>
          </w:p>
          <w:p w:rsidR="00AE095A" w:rsidRPr="00056142" w:rsidRDefault="00AE095A" w:rsidP="00AE095A">
            <w:pPr>
              <w:spacing w:after="0" w:line="240" w:lineRule="auto"/>
              <w:ind w:left="109" w:hanging="109"/>
              <w:jc w:val="center"/>
              <w:rPr>
                <w:rFonts w:ascii="Arial" w:hAnsi="Arial" w:cs="Arial"/>
                <w:bCs/>
                <w:iCs/>
              </w:rPr>
            </w:pPr>
            <w:r w:rsidRPr="00056142">
              <w:rPr>
                <w:rFonts w:ascii="Arial" w:hAnsi="Arial" w:cs="Arial"/>
                <w:bCs/>
                <w:i/>
                <w:iCs/>
              </w:rPr>
              <w:t>[174 (81%)]</w:t>
            </w:r>
          </w:p>
        </w:tc>
        <w:tc>
          <w:tcPr>
            <w:tcW w:w="2268"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Pr="00056142" w:rsidRDefault="00AE095A" w:rsidP="00AE095A">
            <w:pPr>
              <w:spacing w:after="0" w:line="240" w:lineRule="auto"/>
              <w:jc w:val="center"/>
              <w:rPr>
                <w:rFonts w:ascii="Arial" w:hAnsi="Arial" w:cs="Arial"/>
                <w:bCs/>
                <w:iCs/>
              </w:rPr>
            </w:pPr>
            <w:r>
              <w:rPr>
                <w:rFonts w:ascii="Arial" w:hAnsi="Arial" w:cs="Arial"/>
                <w:bCs/>
                <w:iCs/>
              </w:rPr>
              <w:t>151 (72</w:t>
            </w:r>
            <w:r w:rsidRPr="00056142">
              <w:rPr>
                <w:rFonts w:ascii="Arial" w:hAnsi="Arial" w:cs="Arial"/>
                <w:bCs/>
                <w:iCs/>
              </w:rPr>
              <w:t>%)</w:t>
            </w:r>
          </w:p>
          <w:p w:rsidR="00AE095A" w:rsidRPr="00056142" w:rsidRDefault="00AE095A" w:rsidP="00AE095A">
            <w:pPr>
              <w:spacing w:after="0" w:line="240" w:lineRule="auto"/>
              <w:jc w:val="center"/>
              <w:rPr>
                <w:rFonts w:ascii="Arial" w:hAnsi="Arial" w:cs="Arial"/>
                <w:bCs/>
                <w:i/>
                <w:iCs/>
              </w:rPr>
            </w:pPr>
            <w:r w:rsidRPr="00056142">
              <w:rPr>
                <w:rFonts w:ascii="Arial" w:hAnsi="Arial" w:cs="Arial"/>
                <w:bCs/>
                <w:i/>
                <w:iCs/>
              </w:rPr>
              <w:t>[164 (71%)]</w:t>
            </w:r>
          </w:p>
        </w:tc>
        <w:tc>
          <w:tcPr>
            <w:tcW w:w="2335" w:type="dxa"/>
            <w:tcBorders>
              <w:top w:val="nil"/>
              <w:left w:val="nil"/>
              <w:bottom w:val="single" w:sz="8" w:space="0" w:color="auto"/>
              <w:right w:val="single" w:sz="8" w:space="0" w:color="auto"/>
            </w:tcBorders>
            <w:tcMar>
              <w:top w:w="113" w:type="dxa"/>
              <w:left w:w="113" w:type="dxa"/>
              <w:bottom w:w="113" w:type="dxa"/>
              <w:right w:w="113" w:type="dxa"/>
            </w:tcMar>
            <w:vAlign w:val="center"/>
          </w:tcPr>
          <w:p w:rsidR="00AE095A" w:rsidRPr="00056142" w:rsidRDefault="00AE095A" w:rsidP="00AE095A">
            <w:pPr>
              <w:spacing w:after="0" w:line="240" w:lineRule="auto"/>
              <w:jc w:val="center"/>
              <w:rPr>
                <w:rFonts w:ascii="Arial" w:hAnsi="Arial" w:cs="Arial"/>
                <w:bCs/>
                <w:iCs/>
              </w:rPr>
            </w:pPr>
            <w:r>
              <w:rPr>
                <w:rFonts w:ascii="Arial" w:hAnsi="Arial" w:cs="Arial"/>
                <w:bCs/>
                <w:iCs/>
              </w:rPr>
              <w:t>115 (65</w:t>
            </w:r>
            <w:r w:rsidRPr="00056142">
              <w:rPr>
                <w:rFonts w:ascii="Arial" w:hAnsi="Arial" w:cs="Arial"/>
                <w:bCs/>
                <w:iCs/>
              </w:rPr>
              <w:t>%)</w:t>
            </w:r>
          </w:p>
          <w:p w:rsidR="00AE095A" w:rsidRPr="00056142" w:rsidRDefault="00AE095A" w:rsidP="00AE095A">
            <w:pPr>
              <w:spacing w:after="0" w:line="240" w:lineRule="auto"/>
              <w:jc w:val="center"/>
              <w:rPr>
                <w:rFonts w:ascii="Arial" w:hAnsi="Arial" w:cs="Arial"/>
                <w:bCs/>
                <w:i/>
                <w:iCs/>
              </w:rPr>
            </w:pPr>
            <w:r w:rsidRPr="00056142">
              <w:rPr>
                <w:rFonts w:ascii="Arial" w:hAnsi="Arial" w:cs="Arial"/>
                <w:bCs/>
                <w:i/>
                <w:iCs/>
              </w:rPr>
              <w:t>[121 (66%)]</w:t>
            </w:r>
          </w:p>
        </w:tc>
        <w:tc>
          <w:tcPr>
            <w:tcW w:w="2563" w:type="dxa"/>
            <w:tcBorders>
              <w:top w:val="nil"/>
              <w:left w:val="single" w:sz="4" w:space="0" w:color="auto"/>
              <w:bottom w:val="single" w:sz="8" w:space="0" w:color="auto"/>
              <w:right w:val="single" w:sz="8" w:space="0" w:color="auto"/>
            </w:tcBorders>
            <w:tcMar>
              <w:top w:w="113" w:type="dxa"/>
              <w:left w:w="113" w:type="dxa"/>
              <w:bottom w:w="113" w:type="dxa"/>
              <w:right w:w="113" w:type="dxa"/>
            </w:tcMar>
            <w:vAlign w:val="center"/>
            <w:hideMark/>
          </w:tcPr>
          <w:p w:rsidR="00AE095A" w:rsidRPr="00056142" w:rsidRDefault="00AE095A" w:rsidP="00AE095A">
            <w:pPr>
              <w:spacing w:after="0" w:line="240" w:lineRule="auto"/>
              <w:jc w:val="center"/>
              <w:rPr>
                <w:rFonts w:ascii="Arial" w:hAnsi="Arial" w:cs="Arial"/>
                <w:bCs/>
                <w:iCs/>
              </w:rPr>
            </w:pPr>
          </w:p>
          <w:p w:rsidR="00AE095A" w:rsidRPr="00056142" w:rsidRDefault="00AE095A" w:rsidP="00AE095A">
            <w:pPr>
              <w:spacing w:after="0" w:line="240" w:lineRule="auto"/>
              <w:jc w:val="center"/>
              <w:rPr>
                <w:rFonts w:ascii="Arial" w:hAnsi="Arial" w:cs="Arial"/>
                <w:bCs/>
                <w:iCs/>
              </w:rPr>
            </w:pPr>
            <w:r w:rsidRPr="00056142">
              <w:rPr>
                <w:rFonts w:ascii="Arial" w:hAnsi="Arial" w:cs="Arial"/>
                <w:bCs/>
                <w:iCs/>
              </w:rPr>
              <w:t>66</w:t>
            </w:r>
            <w:r>
              <w:rPr>
                <w:rFonts w:ascii="Arial" w:hAnsi="Arial" w:cs="Arial"/>
                <w:bCs/>
                <w:iCs/>
              </w:rPr>
              <w:t>0</w:t>
            </w:r>
            <w:r w:rsidRPr="00056142">
              <w:rPr>
                <w:rFonts w:ascii="Arial" w:hAnsi="Arial" w:cs="Arial"/>
                <w:bCs/>
                <w:iCs/>
              </w:rPr>
              <w:t xml:space="preserve"> (72%)</w:t>
            </w:r>
          </w:p>
          <w:p w:rsidR="00AE095A" w:rsidRPr="00056142" w:rsidRDefault="00AE095A" w:rsidP="00AE095A">
            <w:pPr>
              <w:spacing w:after="0" w:line="240" w:lineRule="auto"/>
              <w:jc w:val="center"/>
              <w:rPr>
                <w:rFonts w:ascii="Arial" w:hAnsi="Arial" w:cs="Arial"/>
                <w:bCs/>
                <w:i/>
                <w:iCs/>
              </w:rPr>
            </w:pPr>
            <w:r w:rsidRPr="00056142">
              <w:rPr>
                <w:rFonts w:ascii="Arial" w:hAnsi="Arial" w:cs="Arial"/>
                <w:bCs/>
                <w:i/>
                <w:iCs/>
              </w:rPr>
              <w:t>[650 (70%)]</w:t>
            </w:r>
          </w:p>
          <w:p w:rsidR="00AE095A" w:rsidRPr="00056142" w:rsidRDefault="00AE095A" w:rsidP="00AE095A">
            <w:pPr>
              <w:spacing w:after="0" w:line="240" w:lineRule="auto"/>
              <w:jc w:val="center"/>
              <w:rPr>
                <w:rFonts w:ascii="Arial" w:hAnsi="Arial" w:cs="Arial"/>
                <w:bCs/>
                <w:iCs/>
              </w:rPr>
            </w:pPr>
          </w:p>
        </w:tc>
      </w:tr>
    </w:tbl>
    <w:p w:rsidR="00AE095A" w:rsidRPr="000020B9" w:rsidRDefault="00AE095A" w:rsidP="00AE095A">
      <w:pPr>
        <w:rPr>
          <w:rFonts w:ascii="Arial" w:hAnsi="Arial" w:cs="Arial"/>
        </w:rPr>
      </w:pPr>
      <w:r>
        <w:rPr>
          <w:rFonts w:ascii="Arial" w:hAnsi="Arial" w:cs="Arial"/>
        </w:rPr>
        <w:t>*</w:t>
      </w:r>
      <w:r w:rsidRPr="000020B9">
        <w:rPr>
          <w:rFonts w:ascii="Arial" w:hAnsi="Arial" w:cs="Arial"/>
        </w:rPr>
        <w:t xml:space="preserve">Includes one </w:t>
      </w:r>
      <w:r>
        <w:rPr>
          <w:rFonts w:ascii="Arial" w:hAnsi="Arial" w:cs="Arial"/>
        </w:rPr>
        <w:t xml:space="preserve">cross-institutional </w:t>
      </w:r>
      <w:r w:rsidRPr="000020B9">
        <w:rPr>
          <w:rFonts w:ascii="Arial" w:hAnsi="Arial" w:cs="Arial"/>
        </w:rPr>
        <w:t xml:space="preserve">project </w:t>
      </w:r>
      <w:r>
        <w:rPr>
          <w:rFonts w:ascii="Arial" w:hAnsi="Arial" w:cs="Arial"/>
        </w:rPr>
        <w:t xml:space="preserve">   </w:t>
      </w:r>
      <w:r w:rsidRPr="006F5A1D">
        <w:rPr>
          <w:rFonts w:ascii="Arial" w:hAnsi="Arial" w:cs="Arial"/>
        </w:rPr>
        <w:t>**Includes institutional S</w:t>
      </w:r>
      <w:r>
        <w:rPr>
          <w:rFonts w:ascii="Arial" w:hAnsi="Arial" w:cs="Arial"/>
        </w:rPr>
        <w:t xml:space="preserve">tudent </w:t>
      </w:r>
      <w:r w:rsidRPr="006F5A1D">
        <w:rPr>
          <w:rFonts w:ascii="Arial" w:hAnsi="Arial" w:cs="Arial"/>
        </w:rPr>
        <w:t>A</w:t>
      </w:r>
      <w:r>
        <w:rPr>
          <w:rFonts w:ascii="Arial" w:hAnsi="Arial" w:cs="Arial"/>
        </w:rPr>
        <w:t xml:space="preserve">dvice and </w:t>
      </w:r>
      <w:r w:rsidRPr="006F5A1D">
        <w:rPr>
          <w:rFonts w:ascii="Arial" w:hAnsi="Arial" w:cs="Arial"/>
        </w:rPr>
        <w:t>W</w:t>
      </w:r>
      <w:r>
        <w:rPr>
          <w:rFonts w:ascii="Arial" w:hAnsi="Arial" w:cs="Arial"/>
        </w:rPr>
        <w:t>ellbeing</w:t>
      </w:r>
      <w:r w:rsidRPr="006F5A1D">
        <w:rPr>
          <w:rFonts w:ascii="Arial" w:hAnsi="Arial" w:cs="Arial"/>
        </w:rPr>
        <w:t xml:space="preserve"> project</w:t>
      </w:r>
      <w:r>
        <w:rPr>
          <w:rFonts w:ascii="Arial" w:hAnsi="Arial" w:cs="Arial"/>
        </w:rPr>
        <w:t xml:space="preserve">  ***</w:t>
      </w:r>
      <w:r w:rsidRPr="00096801">
        <w:rPr>
          <w:rFonts w:ascii="Arial" w:hAnsi="Arial" w:cs="Arial"/>
        </w:rPr>
        <w:t xml:space="preserve"> </w:t>
      </w:r>
      <w:r w:rsidRPr="000020B9">
        <w:rPr>
          <w:rFonts w:ascii="Arial" w:hAnsi="Arial" w:cs="Arial"/>
        </w:rPr>
        <w:t>Includes one joint project with APSS</w:t>
      </w:r>
    </w:p>
    <w:p w:rsidR="00AE095A" w:rsidRPr="00AE095A" w:rsidRDefault="00AE095A" w:rsidP="00AE095A">
      <w:pPr>
        <w:pStyle w:val="ListParagraph"/>
        <w:spacing w:after="0"/>
        <w:ind w:left="0"/>
        <w:rPr>
          <w:rFonts w:asciiTheme="minorHAnsi" w:hAnsiTheme="minorHAnsi" w:cs="Arial"/>
          <w:sz w:val="22"/>
        </w:rPr>
      </w:pPr>
    </w:p>
    <w:sectPr w:rsidR="00AE095A" w:rsidRPr="00AE095A" w:rsidSect="000E3CB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C0E" w:rsidRDefault="001E0C0E" w:rsidP="005879D6">
      <w:pPr>
        <w:spacing w:after="0" w:line="240" w:lineRule="auto"/>
      </w:pPr>
      <w:r>
        <w:separator/>
      </w:r>
    </w:p>
  </w:endnote>
  <w:endnote w:type="continuationSeparator" w:id="0">
    <w:p w:rsidR="001E0C0E" w:rsidRDefault="001E0C0E" w:rsidP="0058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762013"/>
      <w:docPartObj>
        <w:docPartGallery w:val="Page Numbers (Bottom of Page)"/>
        <w:docPartUnique/>
      </w:docPartObj>
    </w:sdtPr>
    <w:sdtEndPr/>
    <w:sdtContent>
      <w:p w:rsidR="00812D5B" w:rsidRDefault="00CB62F5">
        <w:pPr>
          <w:pStyle w:val="Footer"/>
          <w:jc w:val="right"/>
        </w:pPr>
        <w:r>
          <w:fldChar w:fldCharType="begin"/>
        </w:r>
        <w:r w:rsidR="00CE611C">
          <w:instrText xml:space="preserve"> PAGE   \* MERGEFORMAT </w:instrText>
        </w:r>
        <w:r>
          <w:fldChar w:fldCharType="separate"/>
        </w:r>
        <w:r w:rsidR="00A83D3D">
          <w:rPr>
            <w:noProof/>
          </w:rPr>
          <w:t>5</w:t>
        </w:r>
        <w:r>
          <w:rPr>
            <w:noProof/>
          </w:rPr>
          <w:fldChar w:fldCharType="end"/>
        </w:r>
      </w:p>
    </w:sdtContent>
  </w:sdt>
  <w:p w:rsidR="00812D5B" w:rsidRDefault="00812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783758532"/>
      <w:docPartObj>
        <w:docPartGallery w:val="Page Numbers (Bottom of Page)"/>
        <w:docPartUnique/>
      </w:docPartObj>
    </w:sdtPr>
    <w:sdtEndPr/>
    <w:sdtContent>
      <w:p w:rsidR="00AE095A" w:rsidRPr="00765E70" w:rsidRDefault="00AE095A" w:rsidP="00765E70">
        <w:pPr>
          <w:pStyle w:val="Footer"/>
          <w:pBdr>
            <w:top w:val="single" w:sz="4" w:space="1" w:color="auto"/>
          </w:pBdr>
          <w:jc w:val="right"/>
          <w:rPr>
            <w:rFonts w:ascii="Arial" w:hAnsi="Arial" w:cs="Arial"/>
          </w:rPr>
        </w:pPr>
        <w:r w:rsidRPr="00765E70">
          <w:rPr>
            <w:rFonts w:ascii="Arial" w:hAnsi="Arial" w:cs="Arial"/>
          </w:rPr>
          <w:t xml:space="preserve">Page | </w:t>
        </w:r>
        <w:r w:rsidRPr="00765E70">
          <w:rPr>
            <w:rFonts w:ascii="Arial" w:hAnsi="Arial" w:cs="Arial"/>
          </w:rPr>
          <w:fldChar w:fldCharType="begin"/>
        </w:r>
        <w:r w:rsidRPr="00765E70">
          <w:rPr>
            <w:rFonts w:ascii="Arial" w:hAnsi="Arial" w:cs="Arial"/>
          </w:rPr>
          <w:instrText xml:space="preserve"> PAGE   \* MERGEFORMAT </w:instrText>
        </w:r>
        <w:r w:rsidRPr="00765E70">
          <w:rPr>
            <w:rFonts w:ascii="Arial" w:hAnsi="Arial" w:cs="Arial"/>
          </w:rPr>
          <w:fldChar w:fldCharType="separate"/>
        </w:r>
        <w:r w:rsidR="00A83D3D">
          <w:rPr>
            <w:rFonts w:ascii="Arial" w:hAnsi="Arial" w:cs="Arial"/>
            <w:noProof/>
          </w:rPr>
          <w:t>8</w:t>
        </w:r>
        <w:r w:rsidRPr="00765E70">
          <w:rPr>
            <w:rFonts w:ascii="Arial" w:hAnsi="Arial" w:cs="Arial"/>
            <w:noProof/>
          </w:rPr>
          <w:fldChar w:fldCharType="end"/>
        </w:r>
        <w:r w:rsidRPr="00765E70">
          <w:rPr>
            <w:rFonts w:ascii="Arial" w:hAnsi="Arial" w:cs="Arial"/>
          </w:rPr>
          <w:t xml:space="preserve"> </w:t>
        </w:r>
      </w:p>
    </w:sdtContent>
  </w:sdt>
  <w:p w:rsidR="00AE095A" w:rsidRDefault="00AE0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C0E" w:rsidRDefault="001E0C0E" w:rsidP="005879D6">
      <w:pPr>
        <w:spacing w:after="0" w:line="240" w:lineRule="auto"/>
      </w:pPr>
      <w:r>
        <w:separator/>
      </w:r>
    </w:p>
  </w:footnote>
  <w:footnote w:type="continuationSeparator" w:id="0">
    <w:p w:rsidR="001E0C0E" w:rsidRDefault="001E0C0E" w:rsidP="005879D6">
      <w:pPr>
        <w:spacing w:after="0" w:line="240" w:lineRule="auto"/>
      </w:pPr>
      <w:r>
        <w:continuationSeparator/>
      </w:r>
    </w:p>
  </w:footnote>
  <w:footnote w:id="1">
    <w:p w:rsidR="00AE095A" w:rsidRDefault="00AE095A" w:rsidP="00AE095A">
      <w:pPr>
        <w:pStyle w:val="FootnoteText"/>
        <w:ind w:left="284" w:hanging="284"/>
      </w:pPr>
      <w:r>
        <w:rPr>
          <w:rStyle w:val="FootnoteReference"/>
        </w:rPr>
        <w:footnoteRef/>
      </w:r>
      <w:r>
        <w:tab/>
      </w:r>
      <w:r w:rsidRPr="000B63B7">
        <w:rPr>
          <w:rFonts w:ascii="Arial" w:hAnsi="Arial" w:cs="Arial"/>
        </w:rPr>
        <w:t xml:space="preserve">‘Academic Failure’ is an umbrella term, which covers withdrawal for a variety of reasons.  </w:t>
      </w:r>
      <w:r>
        <w:rPr>
          <w:rFonts w:ascii="Arial" w:hAnsi="Arial" w:cs="Arial"/>
        </w:rPr>
        <w:t>H</w:t>
      </w:r>
      <w:r w:rsidRPr="000B63B7">
        <w:rPr>
          <w:rFonts w:ascii="Arial" w:hAnsi="Arial" w:cs="Arial"/>
        </w:rPr>
        <w:t>owever, it describes the Assessment Board decision for these students</w:t>
      </w:r>
      <w:r>
        <w:rPr>
          <w:rFonts w:ascii="Arial" w:hAnsi="Arial" w:cs="Arial"/>
        </w:rPr>
        <w:t xml:space="preserve"> as recorded on the Change of Circumstances form</w:t>
      </w:r>
      <w:r w:rsidRPr="000B63B7">
        <w:rPr>
          <w:rFonts w:ascii="Arial" w:hAnsi="Arial" w:cs="Arial"/>
        </w:rPr>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44D2"/>
    <w:multiLevelType w:val="hybridMultilevel"/>
    <w:tmpl w:val="E2EE88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E1554"/>
    <w:multiLevelType w:val="hybridMultilevel"/>
    <w:tmpl w:val="3288F2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E46E4"/>
    <w:multiLevelType w:val="hybridMultilevel"/>
    <w:tmpl w:val="D234C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B4D64"/>
    <w:multiLevelType w:val="hybridMultilevel"/>
    <w:tmpl w:val="940AD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ED7B49"/>
    <w:multiLevelType w:val="hybridMultilevel"/>
    <w:tmpl w:val="05F4A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922E18"/>
    <w:multiLevelType w:val="hybridMultilevel"/>
    <w:tmpl w:val="F71ED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5F3761"/>
    <w:multiLevelType w:val="hybridMultilevel"/>
    <w:tmpl w:val="1DC8F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0C77BC"/>
    <w:multiLevelType w:val="hybridMultilevel"/>
    <w:tmpl w:val="47EA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D5F"/>
    <w:multiLevelType w:val="hybridMultilevel"/>
    <w:tmpl w:val="9C72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84CE7"/>
    <w:multiLevelType w:val="multilevel"/>
    <w:tmpl w:val="037E7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0494C"/>
    <w:multiLevelType w:val="multilevel"/>
    <w:tmpl w:val="87263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4E248F"/>
    <w:multiLevelType w:val="hybridMultilevel"/>
    <w:tmpl w:val="972C0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D41365"/>
    <w:multiLevelType w:val="hybridMultilevel"/>
    <w:tmpl w:val="6B98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8143E"/>
    <w:multiLevelType w:val="hybridMultilevel"/>
    <w:tmpl w:val="8D34A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2E41BF"/>
    <w:multiLevelType w:val="hybridMultilevel"/>
    <w:tmpl w:val="0FA2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C74D2"/>
    <w:multiLevelType w:val="hybridMultilevel"/>
    <w:tmpl w:val="67580F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DD60B6"/>
    <w:multiLevelType w:val="hybridMultilevel"/>
    <w:tmpl w:val="EEE68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AA7F40"/>
    <w:multiLevelType w:val="hybridMultilevel"/>
    <w:tmpl w:val="E492734C"/>
    <w:lvl w:ilvl="0" w:tplc="4A0E5F5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F30E5B"/>
    <w:multiLevelType w:val="hybridMultilevel"/>
    <w:tmpl w:val="FC7E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427DAE"/>
    <w:multiLevelType w:val="hybridMultilevel"/>
    <w:tmpl w:val="C7CA13E0"/>
    <w:lvl w:ilvl="0" w:tplc="08090001">
      <w:start w:val="1"/>
      <w:numFmt w:val="bullet"/>
      <w:lvlText w:val=""/>
      <w:lvlJc w:val="left"/>
      <w:pPr>
        <w:ind w:left="1139" w:hanging="360"/>
      </w:pPr>
      <w:rPr>
        <w:rFonts w:ascii="Symbol" w:hAnsi="Symbol" w:hint="default"/>
      </w:rPr>
    </w:lvl>
    <w:lvl w:ilvl="1" w:tplc="08090003">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0" w15:restartNumberingAfterBreak="0">
    <w:nsid w:val="28D53041"/>
    <w:multiLevelType w:val="hybridMultilevel"/>
    <w:tmpl w:val="F850A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BF16C2"/>
    <w:multiLevelType w:val="hybridMultilevel"/>
    <w:tmpl w:val="A25C0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233E2E"/>
    <w:multiLevelType w:val="hybridMultilevel"/>
    <w:tmpl w:val="6E9A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D135DB"/>
    <w:multiLevelType w:val="hybridMultilevel"/>
    <w:tmpl w:val="8A38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FA1F2E"/>
    <w:multiLevelType w:val="hybridMultilevel"/>
    <w:tmpl w:val="AC560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A11FD3"/>
    <w:multiLevelType w:val="hybridMultilevel"/>
    <w:tmpl w:val="5028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B215A5"/>
    <w:multiLevelType w:val="hybridMultilevel"/>
    <w:tmpl w:val="41163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9F5EB3"/>
    <w:multiLevelType w:val="hybridMultilevel"/>
    <w:tmpl w:val="A65A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5629E3"/>
    <w:multiLevelType w:val="hybridMultilevel"/>
    <w:tmpl w:val="35B8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1D4184"/>
    <w:multiLevelType w:val="hybridMultilevel"/>
    <w:tmpl w:val="FA96D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615E58"/>
    <w:multiLevelType w:val="hybridMultilevel"/>
    <w:tmpl w:val="2060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255071"/>
    <w:multiLevelType w:val="hybridMultilevel"/>
    <w:tmpl w:val="7590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8E31A6"/>
    <w:multiLevelType w:val="hybridMultilevel"/>
    <w:tmpl w:val="D3341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D5669C"/>
    <w:multiLevelType w:val="hybridMultilevel"/>
    <w:tmpl w:val="69F8C70E"/>
    <w:lvl w:ilvl="0" w:tplc="DCF414F6">
      <w:start w:val="1"/>
      <w:numFmt w:val="bullet"/>
      <w:lvlText w:val="-"/>
      <w:lvlJc w:val="left"/>
      <w:pPr>
        <w:tabs>
          <w:tab w:val="num" w:pos="420"/>
        </w:tabs>
        <w:ind w:left="4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7C230E17"/>
    <w:multiLevelType w:val="multilevel"/>
    <w:tmpl w:val="CAFA6A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5" w15:restartNumberingAfterBreak="0">
    <w:nsid w:val="7ED7590E"/>
    <w:multiLevelType w:val="hybridMultilevel"/>
    <w:tmpl w:val="FC56F474"/>
    <w:lvl w:ilvl="0" w:tplc="26E21DB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9A158B"/>
    <w:multiLevelType w:val="hybridMultilevel"/>
    <w:tmpl w:val="D268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30"/>
  </w:num>
  <w:num w:numId="4">
    <w:abstractNumId w:val="36"/>
  </w:num>
  <w:num w:numId="5">
    <w:abstractNumId w:val="4"/>
  </w:num>
  <w:num w:numId="6">
    <w:abstractNumId w:val="35"/>
  </w:num>
  <w:num w:numId="7">
    <w:abstractNumId w:val="17"/>
  </w:num>
  <w:num w:numId="8">
    <w:abstractNumId w:val="16"/>
  </w:num>
  <w:num w:numId="9">
    <w:abstractNumId w:val="10"/>
  </w:num>
  <w:num w:numId="10">
    <w:abstractNumId w:val="22"/>
  </w:num>
  <w:num w:numId="11">
    <w:abstractNumId w:val="19"/>
  </w:num>
  <w:num w:numId="12">
    <w:abstractNumId w:val="18"/>
  </w:num>
  <w:num w:numId="13">
    <w:abstractNumId w:val="12"/>
  </w:num>
  <w:num w:numId="14">
    <w:abstractNumId w:val="25"/>
  </w:num>
  <w:num w:numId="15">
    <w:abstractNumId w:val="0"/>
  </w:num>
  <w:num w:numId="16">
    <w:abstractNumId w:val="6"/>
  </w:num>
  <w:num w:numId="17">
    <w:abstractNumId w:val="3"/>
  </w:num>
  <w:num w:numId="18">
    <w:abstractNumId w:val="21"/>
  </w:num>
  <w:num w:numId="19">
    <w:abstractNumId w:val="1"/>
  </w:num>
  <w:num w:numId="20">
    <w:abstractNumId w:val="15"/>
  </w:num>
  <w:num w:numId="21">
    <w:abstractNumId w:val="26"/>
  </w:num>
  <w:num w:numId="22">
    <w:abstractNumId w:val="34"/>
  </w:num>
  <w:num w:numId="23">
    <w:abstractNumId w:val="13"/>
  </w:num>
  <w:num w:numId="24">
    <w:abstractNumId w:val="29"/>
  </w:num>
  <w:num w:numId="25">
    <w:abstractNumId w:val="24"/>
  </w:num>
  <w:num w:numId="26">
    <w:abstractNumId w:val="5"/>
  </w:num>
  <w:num w:numId="27">
    <w:abstractNumId w:val="8"/>
  </w:num>
  <w:num w:numId="28">
    <w:abstractNumId w:val="23"/>
  </w:num>
  <w:num w:numId="29">
    <w:abstractNumId w:val="11"/>
  </w:num>
  <w:num w:numId="30">
    <w:abstractNumId w:val="28"/>
  </w:num>
  <w:num w:numId="31">
    <w:abstractNumId w:val="7"/>
  </w:num>
  <w:num w:numId="32">
    <w:abstractNumId w:val="32"/>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7"/>
  </w:num>
  <w:num w:numId="36">
    <w:abstractNumId w:val="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Formatting/>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0E"/>
    <w:rsid w:val="00010488"/>
    <w:rsid w:val="00041B4D"/>
    <w:rsid w:val="00051611"/>
    <w:rsid w:val="00055716"/>
    <w:rsid w:val="00067D92"/>
    <w:rsid w:val="0007060E"/>
    <w:rsid w:val="000837AE"/>
    <w:rsid w:val="00084831"/>
    <w:rsid w:val="0009532A"/>
    <w:rsid w:val="00095591"/>
    <w:rsid w:val="00097164"/>
    <w:rsid w:val="000A28A3"/>
    <w:rsid w:val="000B3BF7"/>
    <w:rsid w:val="000C035B"/>
    <w:rsid w:val="000C241F"/>
    <w:rsid w:val="000D1B5E"/>
    <w:rsid w:val="000D4148"/>
    <w:rsid w:val="000D7C0F"/>
    <w:rsid w:val="000E113C"/>
    <w:rsid w:val="000E4E5A"/>
    <w:rsid w:val="00110023"/>
    <w:rsid w:val="00124023"/>
    <w:rsid w:val="001334B8"/>
    <w:rsid w:val="00136D68"/>
    <w:rsid w:val="00161780"/>
    <w:rsid w:val="00170171"/>
    <w:rsid w:val="001711FB"/>
    <w:rsid w:val="001718D9"/>
    <w:rsid w:val="00185350"/>
    <w:rsid w:val="00196D00"/>
    <w:rsid w:val="001A7F30"/>
    <w:rsid w:val="001B23CE"/>
    <w:rsid w:val="001B34AC"/>
    <w:rsid w:val="001B6E35"/>
    <w:rsid w:val="001D0660"/>
    <w:rsid w:val="001D2EEF"/>
    <w:rsid w:val="001D3B6D"/>
    <w:rsid w:val="001D4C64"/>
    <w:rsid w:val="001D6FB8"/>
    <w:rsid w:val="001E0763"/>
    <w:rsid w:val="001E0C0E"/>
    <w:rsid w:val="001E1439"/>
    <w:rsid w:val="001F12BC"/>
    <w:rsid w:val="00222CCD"/>
    <w:rsid w:val="0027221B"/>
    <w:rsid w:val="0028492B"/>
    <w:rsid w:val="00290095"/>
    <w:rsid w:val="00291A23"/>
    <w:rsid w:val="00296425"/>
    <w:rsid w:val="002A0B51"/>
    <w:rsid w:val="002A7488"/>
    <w:rsid w:val="002C7997"/>
    <w:rsid w:val="002D67FC"/>
    <w:rsid w:val="002E2415"/>
    <w:rsid w:val="002F17FB"/>
    <w:rsid w:val="003131E6"/>
    <w:rsid w:val="00313A08"/>
    <w:rsid w:val="00316990"/>
    <w:rsid w:val="003214BC"/>
    <w:rsid w:val="0032399E"/>
    <w:rsid w:val="00326FAC"/>
    <w:rsid w:val="0034061B"/>
    <w:rsid w:val="003457AC"/>
    <w:rsid w:val="003516E0"/>
    <w:rsid w:val="003716B3"/>
    <w:rsid w:val="00373434"/>
    <w:rsid w:val="00390DC7"/>
    <w:rsid w:val="003A2F02"/>
    <w:rsid w:val="003B0DB3"/>
    <w:rsid w:val="003B7440"/>
    <w:rsid w:val="003B789A"/>
    <w:rsid w:val="003D01C6"/>
    <w:rsid w:val="003D0DE8"/>
    <w:rsid w:val="003E7B09"/>
    <w:rsid w:val="0040539D"/>
    <w:rsid w:val="0042610A"/>
    <w:rsid w:val="00451265"/>
    <w:rsid w:val="00455A34"/>
    <w:rsid w:val="00464359"/>
    <w:rsid w:val="0048434D"/>
    <w:rsid w:val="004972B4"/>
    <w:rsid w:val="004A4634"/>
    <w:rsid w:val="004B151E"/>
    <w:rsid w:val="004C4357"/>
    <w:rsid w:val="004C517F"/>
    <w:rsid w:val="0050095D"/>
    <w:rsid w:val="005041D7"/>
    <w:rsid w:val="00506323"/>
    <w:rsid w:val="005351A8"/>
    <w:rsid w:val="005429E5"/>
    <w:rsid w:val="00543B01"/>
    <w:rsid w:val="0056071A"/>
    <w:rsid w:val="00564348"/>
    <w:rsid w:val="00571A61"/>
    <w:rsid w:val="005879D6"/>
    <w:rsid w:val="005A58DA"/>
    <w:rsid w:val="005A598B"/>
    <w:rsid w:val="005A5EFB"/>
    <w:rsid w:val="005B746B"/>
    <w:rsid w:val="005C0A48"/>
    <w:rsid w:val="005C0FDA"/>
    <w:rsid w:val="005C721B"/>
    <w:rsid w:val="005D74B4"/>
    <w:rsid w:val="005F50D6"/>
    <w:rsid w:val="0060235C"/>
    <w:rsid w:val="0060249C"/>
    <w:rsid w:val="00613A91"/>
    <w:rsid w:val="00626A75"/>
    <w:rsid w:val="00641B5E"/>
    <w:rsid w:val="00645C36"/>
    <w:rsid w:val="00647470"/>
    <w:rsid w:val="006526B1"/>
    <w:rsid w:val="00660CCB"/>
    <w:rsid w:val="00672B63"/>
    <w:rsid w:val="006732CC"/>
    <w:rsid w:val="006778E4"/>
    <w:rsid w:val="0069037F"/>
    <w:rsid w:val="006A1346"/>
    <w:rsid w:val="006A72C6"/>
    <w:rsid w:val="006B04AF"/>
    <w:rsid w:val="006C1AD8"/>
    <w:rsid w:val="006C1E36"/>
    <w:rsid w:val="006C6EA8"/>
    <w:rsid w:val="006D1B11"/>
    <w:rsid w:val="006D6005"/>
    <w:rsid w:val="006E19B5"/>
    <w:rsid w:val="00702757"/>
    <w:rsid w:val="007125BD"/>
    <w:rsid w:val="007158C3"/>
    <w:rsid w:val="00735743"/>
    <w:rsid w:val="00737D4E"/>
    <w:rsid w:val="00765E58"/>
    <w:rsid w:val="00777811"/>
    <w:rsid w:val="00786A99"/>
    <w:rsid w:val="007A342B"/>
    <w:rsid w:val="007D28DF"/>
    <w:rsid w:val="007D627E"/>
    <w:rsid w:val="00803417"/>
    <w:rsid w:val="00812D5B"/>
    <w:rsid w:val="00840E9F"/>
    <w:rsid w:val="008420D0"/>
    <w:rsid w:val="00842A91"/>
    <w:rsid w:val="00850FB7"/>
    <w:rsid w:val="00852EA9"/>
    <w:rsid w:val="0088323D"/>
    <w:rsid w:val="008846BD"/>
    <w:rsid w:val="00887E97"/>
    <w:rsid w:val="00895A73"/>
    <w:rsid w:val="008A070E"/>
    <w:rsid w:val="008A6188"/>
    <w:rsid w:val="008F01FA"/>
    <w:rsid w:val="008F1421"/>
    <w:rsid w:val="008F5FD1"/>
    <w:rsid w:val="00902D38"/>
    <w:rsid w:val="00906C54"/>
    <w:rsid w:val="0090742D"/>
    <w:rsid w:val="009302B8"/>
    <w:rsid w:val="009412AE"/>
    <w:rsid w:val="0094433A"/>
    <w:rsid w:val="00953D0C"/>
    <w:rsid w:val="00954203"/>
    <w:rsid w:val="009570CD"/>
    <w:rsid w:val="0097116D"/>
    <w:rsid w:val="00984474"/>
    <w:rsid w:val="00994F30"/>
    <w:rsid w:val="009A19B0"/>
    <w:rsid w:val="009B63EF"/>
    <w:rsid w:val="009B742E"/>
    <w:rsid w:val="009C0275"/>
    <w:rsid w:val="009D0098"/>
    <w:rsid w:val="009E5125"/>
    <w:rsid w:val="009E67E0"/>
    <w:rsid w:val="009F73B8"/>
    <w:rsid w:val="00A037A9"/>
    <w:rsid w:val="00A21FF4"/>
    <w:rsid w:val="00A254A8"/>
    <w:rsid w:val="00A25A8F"/>
    <w:rsid w:val="00A27A37"/>
    <w:rsid w:val="00A364DC"/>
    <w:rsid w:val="00A42AD9"/>
    <w:rsid w:val="00A73BE1"/>
    <w:rsid w:val="00A75D66"/>
    <w:rsid w:val="00A83D3D"/>
    <w:rsid w:val="00A94C56"/>
    <w:rsid w:val="00AB0C08"/>
    <w:rsid w:val="00AB6D01"/>
    <w:rsid w:val="00AC7331"/>
    <w:rsid w:val="00AE059C"/>
    <w:rsid w:val="00AE095A"/>
    <w:rsid w:val="00AE3B21"/>
    <w:rsid w:val="00AF291A"/>
    <w:rsid w:val="00AF5C70"/>
    <w:rsid w:val="00B03628"/>
    <w:rsid w:val="00B17532"/>
    <w:rsid w:val="00B204EC"/>
    <w:rsid w:val="00B23138"/>
    <w:rsid w:val="00B36501"/>
    <w:rsid w:val="00B40FA1"/>
    <w:rsid w:val="00B44D28"/>
    <w:rsid w:val="00B546EA"/>
    <w:rsid w:val="00B62CC0"/>
    <w:rsid w:val="00B6502C"/>
    <w:rsid w:val="00B87883"/>
    <w:rsid w:val="00BA1C8C"/>
    <w:rsid w:val="00BA49DF"/>
    <w:rsid w:val="00BB19FC"/>
    <w:rsid w:val="00BB30F3"/>
    <w:rsid w:val="00BB3F09"/>
    <w:rsid w:val="00BB5EF3"/>
    <w:rsid w:val="00BF5595"/>
    <w:rsid w:val="00C0581D"/>
    <w:rsid w:val="00C231B0"/>
    <w:rsid w:val="00C3428A"/>
    <w:rsid w:val="00C348C1"/>
    <w:rsid w:val="00C35C0E"/>
    <w:rsid w:val="00C477EA"/>
    <w:rsid w:val="00C5258B"/>
    <w:rsid w:val="00C535EA"/>
    <w:rsid w:val="00C73951"/>
    <w:rsid w:val="00C76744"/>
    <w:rsid w:val="00C9766F"/>
    <w:rsid w:val="00C9782A"/>
    <w:rsid w:val="00CA2392"/>
    <w:rsid w:val="00CB0B13"/>
    <w:rsid w:val="00CB1E3C"/>
    <w:rsid w:val="00CB1E91"/>
    <w:rsid w:val="00CB62F5"/>
    <w:rsid w:val="00CD3FFB"/>
    <w:rsid w:val="00CE303F"/>
    <w:rsid w:val="00CE611C"/>
    <w:rsid w:val="00CF3969"/>
    <w:rsid w:val="00D039BC"/>
    <w:rsid w:val="00D04B89"/>
    <w:rsid w:val="00D06C2F"/>
    <w:rsid w:val="00D0755D"/>
    <w:rsid w:val="00D26535"/>
    <w:rsid w:val="00D5009B"/>
    <w:rsid w:val="00D527E9"/>
    <w:rsid w:val="00D818FC"/>
    <w:rsid w:val="00D974AD"/>
    <w:rsid w:val="00D97E00"/>
    <w:rsid w:val="00DC64EB"/>
    <w:rsid w:val="00DE419E"/>
    <w:rsid w:val="00DE6318"/>
    <w:rsid w:val="00E0335C"/>
    <w:rsid w:val="00E04056"/>
    <w:rsid w:val="00E04BAD"/>
    <w:rsid w:val="00E0750B"/>
    <w:rsid w:val="00E26593"/>
    <w:rsid w:val="00E30150"/>
    <w:rsid w:val="00E362AF"/>
    <w:rsid w:val="00E736B4"/>
    <w:rsid w:val="00EA1A2F"/>
    <w:rsid w:val="00ED6BDA"/>
    <w:rsid w:val="00ED79F9"/>
    <w:rsid w:val="00F10E75"/>
    <w:rsid w:val="00F14723"/>
    <w:rsid w:val="00F23CD7"/>
    <w:rsid w:val="00F252C1"/>
    <w:rsid w:val="00F32644"/>
    <w:rsid w:val="00F34A29"/>
    <w:rsid w:val="00F43AB6"/>
    <w:rsid w:val="00F442BF"/>
    <w:rsid w:val="00F55EDE"/>
    <w:rsid w:val="00F61774"/>
    <w:rsid w:val="00F71B97"/>
    <w:rsid w:val="00F80AC6"/>
    <w:rsid w:val="00FA3D5F"/>
    <w:rsid w:val="00FA488F"/>
    <w:rsid w:val="00FB2E0B"/>
    <w:rsid w:val="00FE1270"/>
    <w:rsid w:val="00FE4DD4"/>
    <w:rsid w:val="00FE62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963A63C9-2E02-4BA3-B9C6-F97BA4B6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70E"/>
    <w:pPr>
      <w:ind w:left="720"/>
      <w:contextualSpacing/>
    </w:pPr>
  </w:style>
  <w:style w:type="table" w:styleId="TableGrid">
    <w:name w:val="Table Grid"/>
    <w:basedOn w:val="TableNormal"/>
    <w:uiPriority w:val="39"/>
    <w:rsid w:val="008A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7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9D6"/>
  </w:style>
  <w:style w:type="paragraph" w:styleId="Footer">
    <w:name w:val="footer"/>
    <w:basedOn w:val="Normal"/>
    <w:link w:val="FooterChar"/>
    <w:uiPriority w:val="99"/>
    <w:unhideWhenUsed/>
    <w:rsid w:val="00587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9D6"/>
  </w:style>
  <w:style w:type="paragraph" w:styleId="BalloonText">
    <w:name w:val="Balloon Text"/>
    <w:basedOn w:val="Normal"/>
    <w:link w:val="BalloonTextChar"/>
    <w:uiPriority w:val="99"/>
    <w:semiHidden/>
    <w:unhideWhenUsed/>
    <w:rsid w:val="004A4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634"/>
    <w:rPr>
      <w:rFonts w:ascii="Tahoma" w:hAnsi="Tahoma" w:cs="Tahoma"/>
      <w:sz w:val="16"/>
      <w:szCs w:val="16"/>
    </w:rPr>
  </w:style>
  <w:style w:type="paragraph" w:styleId="PlainText">
    <w:name w:val="Plain Text"/>
    <w:basedOn w:val="Normal"/>
    <w:link w:val="PlainTextChar"/>
    <w:uiPriority w:val="99"/>
    <w:unhideWhenUsed/>
    <w:rsid w:val="000C241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0C241F"/>
    <w:rPr>
      <w:rFonts w:ascii="Calibri" w:hAnsi="Calibri"/>
      <w:sz w:val="22"/>
      <w:szCs w:val="21"/>
    </w:rPr>
  </w:style>
  <w:style w:type="character" w:styleId="CommentReference">
    <w:name w:val="annotation reference"/>
    <w:basedOn w:val="DefaultParagraphFont"/>
    <w:uiPriority w:val="99"/>
    <w:semiHidden/>
    <w:unhideWhenUsed/>
    <w:rsid w:val="000D4148"/>
    <w:rPr>
      <w:sz w:val="16"/>
      <w:szCs w:val="16"/>
    </w:rPr>
  </w:style>
  <w:style w:type="paragraph" w:styleId="CommentText">
    <w:name w:val="annotation text"/>
    <w:basedOn w:val="Normal"/>
    <w:link w:val="CommentTextChar"/>
    <w:uiPriority w:val="99"/>
    <w:semiHidden/>
    <w:unhideWhenUsed/>
    <w:rsid w:val="000D4148"/>
    <w:pPr>
      <w:spacing w:line="240" w:lineRule="auto"/>
    </w:pPr>
    <w:rPr>
      <w:sz w:val="20"/>
      <w:szCs w:val="20"/>
    </w:rPr>
  </w:style>
  <w:style w:type="character" w:customStyle="1" w:styleId="CommentTextChar">
    <w:name w:val="Comment Text Char"/>
    <w:basedOn w:val="DefaultParagraphFont"/>
    <w:link w:val="CommentText"/>
    <w:uiPriority w:val="99"/>
    <w:semiHidden/>
    <w:rsid w:val="000D4148"/>
    <w:rPr>
      <w:sz w:val="20"/>
      <w:szCs w:val="20"/>
    </w:rPr>
  </w:style>
  <w:style w:type="paragraph" w:styleId="CommentSubject">
    <w:name w:val="annotation subject"/>
    <w:basedOn w:val="CommentText"/>
    <w:next w:val="CommentText"/>
    <w:link w:val="CommentSubjectChar"/>
    <w:uiPriority w:val="99"/>
    <w:semiHidden/>
    <w:unhideWhenUsed/>
    <w:rsid w:val="000D4148"/>
    <w:rPr>
      <w:b/>
      <w:bCs/>
    </w:rPr>
  </w:style>
  <w:style w:type="character" w:customStyle="1" w:styleId="CommentSubjectChar">
    <w:name w:val="Comment Subject Char"/>
    <w:basedOn w:val="CommentTextChar"/>
    <w:link w:val="CommentSubject"/>
    <w:uiPriority w:val="99"/>
    <w:semiHidden/>
    <w:rsid w:val="000D4148"/>
    <w:rPr>
      <w:b/>
      <w:bCs/>
      <w:sz w:val="20"/>
      <w:szCs w:val="20"/>
    </w:rPr>
  </w:style>
  <w:style w:type="character" w:styleId="Hyperlink">
    <w:name w:val="Hyperlink"/>
    <w:basedOn w:val="DefaultParagraphFont"/>
    <w:uiPriority w:val="99"/>
    <w:unhideWhenUsed/>
    <w:rsid w:val="00055716"/>
    <w:rPr>
      <w:color w:val="0000FF" w:themeColor="hyperlink"/>
      <w:u w:val="single"/>
    </w:rPr>
  </w:style>
  <w:style w:type="character" w:styleId="FollowedHyperlink">
    <w:name w:val="FollowedHyperlink"/>
    <w:basedOn w:val="DefaultParagraphFont"/>
    <w:uiPriority w:val="99"/>
    <w:semiHidden/>
    <w:unhideWhenUsed/>
    <w:rsid w:val="006B04AF"/>
    <w:rPr>
      <w:color w:val="800080" w:themeColor="followedHyperlink"/>
      <w:u w:val="single"/>
    </w:rPr>
  </w:style>
  <w:style w:type="paragraph" w:styleId="FootnoteText">
    <w:name w:val="footnote text"/>
    <w:basedOn w:val="Normal"/>
    <w:link w:val="FootnoteTextChar"/>
    <w:uiPriority w:val="99"/>
    <w:semiHidden/>
    <w:unhideWhenUsed/>
    <w:rsid w:val="00AE095A"/>
    <w:pPr>
      <w:spacing w:after="0" w:line="240" w:lineRule="auto"/>
    </w:pPr>
    <w:rPr>
      <w:rFonts w:asciiTheme="minorHAnsi" w:hAnsiTheme="minorHAnsi"/>
      <w:sz w:val="20"/>
      <w:szCs w:val="20"/>
      <w:lang w:eastAsia="zh-TW"/>
    </w:rPr>
  </w:style>
  <w:style w:type="character" w:customStyle="1" w:styleId="FootnoteTextChar">
    <w:name w:val="Footnote Text Char"/>
    <w:basedOn w:val="DefaultParagraphFont"/>
    <w:link w:val="FootnoteText"/>
    <w:uiPriority w:val="99"/>
    <w:semiHidden/>
    <w:rsid w:val="00AE095A"/>
    <w:rPr>
      <w:rFonts w:asciiTheme="minorHAnsi" w:hAnsiTheme="minorHAnsi"/>
      <w:sz w:val="20"/>
      <w:szCs w:val="20"/>
      <w:lang w:eastAsia="zh-TW"/>
    </w:rPr>
  </w:style>
  <w:style w:type="character" w:styleId="FootnoteReference">
    <w:name w:val="footnote reference"/>
    <w:basedOn w:val="DefaultParagraphFont"/>
    <w:uiPriority w:val="99"/>
    <w:semiHidden/>
    <w:unhideWhenUsed/>
    <w:rsid w:val="00AE09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9435">
      <w:bodyDiv w:val="1"/>
      <w:marLeft w:val="0"/>
      <w:marRight w:val="0"/>
      <w:marTop w:val="0"/>
      <w:marBottom w:val="0"/>
      <w:divBdr>
        <w:top w:val="none" w:sz="0" w:space="0" w:color="auto"/>
        <w:left w:val="none" w:sz="0" w:space="0" w:color="auto"/>
        <w:bottom w:val="none" w:sz="0" w:space="0" w:color="auto"/>
        <w:right w:val="none" w:sz="0" w:space="0" w:color="auto"/>
      </w:divBdr>
    </w:div>
    <w:div w:id="1224414193">
      <w:bodyDiv w:val="1"/>
      <w:marLeft w:val="0"/>
      <w:marRight w:val="0"/>
      <w:marTop w:val="0"/>
      <w:marBottom w:val="0"/>
      <w:divBdr>
        <w:top w:val="none" w:sz="0" w:space="0" w:color="auto"/>
        <w:left w:val="none" w:sz="0" w:space="0" w:color="auto"/>
        <w:bottom w:val="none" w:sz="0" w:space="0" w:color="auto"/>
        <w:right w:val="none" w:sz="0" w:space="0" w:color="auto"/>
      </w:divBdr>
    </w:div>
    <w:div w:id="1345284878">
      <w:bodyDiv w:val="1"/>
      <w:marLeft w:val="0"/>
      <w:marRight w:val="0"/>
      <w:marTop w:val="0"/>
      <w:marBottom w:val="0"/>
      <w:divBdr>
        <w:top w:val="none" w:sz="0" w:space="0" w:color="auto"/>
        <w:left w:val="none" w:sz="0" w:space="0" w:color="auto"/>
        <w:bottom w:val="none" w:sz="0" w:space="0" w:color="auto"/>
        <w:right w:val="none" w:sz="0" w:space="0" w:color="auto"/>
      </w:divBdr>
    </w:div>
    <w:div w:id="1367170441">
      <w:bodyDiv w:val="1"/>
      <w:marLeft w:val="0"/>
      <w:marRight w:val="0"/>
      <w:marTop w:val="0"/>
      <w:marBottom w:val="0"/>
      <w:divBdr>
        <w:top w:val="none" w:sz="0" w:space="0" w:color="auto"/>
        <w:left w:val="none" w:sz="0" w:space="0" w:color="auto"/>
        <w:bottom w:val="none" w:sz="0" w:space="0" w:color="auto"/>
        <w:right w:val="none" w:sz="0" w:space="0" w:color="auto"/>
      </w:divBdr>
    </w:div>
    <w:div w:id="14108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owie.ljmu.ac.uk/FacultyLTA/Staff%20Development%20Day%2015%2012%2014.htm" TargetMode="External"/><Relationship Id="rId18" Type="http://schemas.openxmlformats.org/officeDocument/2006/relationships/hyperlink" Target="http://openjournals.ljmu.ac.uk/iip/inde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owie.ljmu.ac.uk/FacultyLTA/Availability%20advertising.docx" TargetMode="External"/><Relationship Id="rId17" Type="http://schemas.openxmlformats.org/officeDocument/2006/relationships/hyperlink" Target="http://tlablog.ljmu.ac.uk/index.php/shop/"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owie.ljmu.ac.uk/FacultyLTA/Faculty%20Tutorial%20Resources.htm" TargetMode="External"/><Relationship Id="rId5" Type="http://schemas.openxmlformats.org/officeDocument/2006/relationships/styles" Target="styles.xml"/><Relationship Id="rId15" Type="http://schemas.openxmlformats.org/officeDocument/2006/relationships/hyperlink" Target="http://wowie.ljmu.ac.uk/FacultyLTA/LTA%20updates.htm" TargetMode="External"/><Relationship Id="rId10" Type="http://schemas.openxmlformats.org/officeDocument/2006/relationships/hyperlink" Target="http://wowie.ljmu.ac.uk/FacultyLTA/Home.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jmu.ac.uk/research/centres-and-institutes/faculty-of-science-pedagogic-research-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ommittee_x0020_Meeting_x0020_Date xmlns="5a73d072-0704-4f4d-8065-b26870d07dd7">2012-12-12T00:00:00+00:00</Committee_x0020_Meeting_x0020_Date>
    <Academic_x0020_Year xmlns="5a73d072-0704-4f4d-8065-b26870d07dd7">2012 - 2013</Academic_x0020_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32408BD51C254B9F586F89B2189AB8" ma:contentTypeVersion="3" ma:contentTypeDescription="Create a new document." ma:contentTypeScope="" ma:versionID="c0e88b827ea32b70b23d0384bb497ae8">
  <xsd:schema xmlns:xsd="http://www.w3.org/2001/XMLSchema" xmlns:p="http://schemas.microsoft.com/office/2006/metadata/properties" xmlns:ns2="5a73d072-0704-4f4d-8065-b26870d07dd7" targetNamespace="http://schemas.microsoft.com/office/2006/metadata/properties" ma:root="true" ma:fieldsID="88f053faa60a3c31bab80707eb7de7d6" ns2:_="">
    <xsd:import namespace="5a73d072-0704-4f4d-8065-b26870d07dd7"/>
    <xsd:element name="properties">
      <xsd:complexType>
        <xsd:sequence>
          <xsd:element name="documentManagement">
            <xsd:complexType>
              <xsd:all>
                <xsd:element ref="ns2:Committee_x0020_Meeting_x0020_Date"/>
                <xsd:element ref="ns2:Academic_x0020_Year"/>
              </xsd:all>
            </xsd:complexType>
          </xsd:element>
        </xsd:sequence>
      </xsd:complexType>
    </xsd:element>
  </xsd:schema>
  <xsd:schema xmlns:xsd="http://www.w3.org/2001/XMLSchema" xmlns:dms="http://schemas.microsoft.com/office/2006/documentManagement/types" targetNamespace="5a73d072-0704-4f4d-8065-b26870d07dd7" elementFormDefault="qualified">
    <xsd:import namespace="http://schemas.microsoft.com/office/2006/documentManagement/types"/>
    <xsd:element name="Committee_x0020_Meeting_x0020_Date" ma:index="8" ma:displayName="Committee Meeting Date" ma:format="DateOnly" ma:internalName="Committee_x0020_Meeting_x0020_Date">
      <xsd:simpleType>
        <xsd:restriction base="dms:DateTime"/>
      </xsd:simpleType>
    </xsd:element>
    <xsd:element name="Academic_x0020_Year" ma:index="9" ma:displayName="Academic Year" ma:default="2012 - 2013" ma:format="Dropdown" ma:internalName="Academic_x0020_Year">
      <xsd:simpleType>
        <xsd:restriction base="dms:Choice">
          <xsd:enumeration value="2005 - 2006"/>
          <xsd:enumeration value="2006 - 2007"/>
          <xsd:enumeration value="2007 - 2008"/>
          <xsd:enumeration value="2008 - 2009"/>
          <xsd:enumeration value="2009 - 2010"/>
          <xsd:enumeration value="2010 - 2011"/>
          <xsd:enumeration value="2011 - 2012"/>
          <xsd:enumeration value="2012 - 2013"/>
          <xsd:enumeration value="2013 - 2014"/>
          <xsd:enumeration value="2014 - 2015"/>
          <xsd:enumeration value="2015 - 2016"/>
          <xsd:enumeration value="2016 - 2017"/>
          <xsd:enumeration value="2017 - 2018"/>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E8888-9A6F-4060-AA27-66AF373106FB}">
  <ds:schemaRefs>
    <ds:schemaRef ds:uri="http://purl.org/dc/dcmitype/"/>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5a73d072-0704-4f4d-8065-b26870d07dd7"/>
  </ds:schemaRefs>
</ds:datastoreItem>
</file>

<file path=customXml/itemProps2.xml><?xml version="1.0" encoding="utf-8"?>
<ds:datastoreItem xmlns:ds="http://schemas.openxmlformats.org/officeDocument/2006/customXml" ds:itemID="{0359CA9A-3895-4EAD-8A6E-0259516EE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3d072-0704-4f4d-8065-b26870d07dd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FEEBD3-D950-4168-B067-7BB1480380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11</Pages>
  <Words>3705</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24781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phcpdent</dc:creator>
  <cp:lastModifiedBy>Denton, Philip</cp:lastModifiedBy>
  <cp:revision>63</cp:revision>
  <cp:lastPrinted>2013-10-04T12:51:00Z</cp:lastPrinted>
  <dcterms:created xsi:type="dcterms:W3CDTF">2015-10-13T09:39:00Z</dcterms:created>
  <dcterms:modified xsi:type="dcterms:W3CDTF">2016-11-07T11:07:00Z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0x010100E132408BD51C254B9F586F89B2189AB8</vt:lpwstr>
  </property>
</Properties>
</file>