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706" w:rsidRDefault="00A87706">
      <w:pPr>
        <w:rPr>
          <w:b/>
        </w:rPr>
      </w:pPr>
      <w:r>
        <w:rPr>
          <w:b/>
        </w:rPr>
        <w:t>2015/16 Assessment and Feedback Report Action Plan</w:t>
      </w:r>
    </w:p>
    <w:p w:rsidR="00A87706" w:rsidRPr="00196816" w:rsidRDefault="00A87706" w:rsidP="00A87706">
      <w:proofErr w:type="gramStart"/>
      <w:r>
        <w:t xml:space="preserve">Faculty of Science actions in response to the </w:t>
      </w:r>
      <w:proofErr w:type="spellStart"/>
      <w:r>
        <w:t>LiverpoolSU</w:t>
      </w:r>
      <w:proofErr w:type="spellEnd"/>
      <w:r>
        <w:t xml:space="preserve"> </w:t>
      </w:r>
      <w:r w:rsidRPr="00A87706">
        <w:t>2015/16 Assessment and Feedback Report</w:t>
      </w:r>
      <w:r>
        <w:t>.</w:t>
      </w:r>
      <w:proofErr w:type="gramEnd"/>
      <w:r w:rsidR="00726E85">
        <w:t xml:space="preserve">  </w:t>
      </w:r>
      <w:proofErr w:type="gramStart"/>
      <w:r>
        <w:t>Outcomes to be recorded within the review section of the 2016/17 Faculty LTA Plan.</w:t>
      </w:r>
      <w:proofErr w:type="gramEnd"/>
    </w:p>
    <w:tbl>
      <w:tblPr>
        <w:tblStyle w:val="TableGrid"/>
        <w:tblW w:w="14173" w:type="dxa"/>
        <w:tblLook w:val="04A0" w:firstRow="1" w:lastRow="0" w:firstColumn="1" w:lastColumn="0" w:noHBand="0" w:noVBand="1"/>
      </w:tblPr>
      <w:tblGrid>
        <w:gridCol w:w="567"/>
        <w:gridCol w:w="5669"/>
        <w:gridCol w:w="5669"/>
        <w:gridCol w:w="2268"/>
      </w:tblGrid>
      <w:tr w:rsidR="00726E85" w:rsidRPr="00196816" w:rsidTr="00726E85">
        <w:tc>
          <w:tcPr>
            <w:tcW w:w="567" w:type="dxa"/>
          </w:tcPr>
          <w:p w:rsidR="00726E85" w:rsidRPr="00196816" w:rsidRDefault="00726E85" w:rsidP="00330C00">
            <w:pPr>
              <w:spacing w:beforeLines="20" w:before="48" w:afterLines="20" w:after="48"/>
              <w:rPr>
                <w:b/>
              </w:rPr>
            </w:pPr>
            <w:r>
              <w:rPr>
                <w:b/>
              </w:rPr>
              <w:t>#</w:t>
            </w:r>
          </w:p>
        </w:tc>
        <w:tc>
          <w:tcPr>
            <w:tcW w:w="5669" w:type="dxa"/>
          </w:tcPr>
          <w:p w:rsidR="00726E85" w:rsidRPr="00196816" w:rsidRDefault="00726E85" w:rsidP="00330C00">
            <w:pPr>
              <w:spacing w:beforeLines="20" w:before="48" w:afterLines="20" w:after="48"/>
              <w:rPr>
                <w:b/>
              </w:rPr>
            </w:pPr>
            <w:r>
              <w:rPr>
                <w:b/>
              </w:rPr>
              <w:t>Recommendation</w:t>
            </w:r>
          </w:p>
        </w:tc>
        <w:tc>
          <w:tcPr>
            <w:tcW w:w="5669" w:type="dxa"/>
          </w:tcPr>
          <w:p w:rsidR="00726E85" w:rsidRPr="00196816" w:rsidRDefault="00726E85" w:rsidP="00330C00">
            <w:pPr>
              <w:spacing w:beforeLines="20" w:before="48" w:afterLines="20" w:after="48"/>
              <w:rPr>
                <w:b/>
              </w:rPr>
            </w:pPr>
            <w:r w:rsidRPr="00196816">
              <w:rPr>
                <w:b/>
              </w:rPr>
              <w:t>Action</w:t>
            </w:r>
          </w:p>
        </w:tc>
        <w:tc>
          <w:tcPr>
            <w:tcW w:w="2268" w:type="dxa"/>
          </w:tcPr>
          <w:p w:rsidR="00726E85" w:rsidRPr="00196816" w:rsidRDefault="00726E85" w:rsidP="00330C00">
            <w:pPr>
              <w:spacing w:beforeLines="20" w:before="48" w:afterLines="20" w:after="48"/>
              <w:rPr>
                <w:b/>
              </w:rPr>
            </w:pPr>
            <w:r w:rsidRPr="00196816">
              <w:rPr>
                <w:b/>
              </w:rPr>
              <w:t>Responsibility</w:t>
            </w:r>
          </w:p>
        </w:tc>
      </w:tr>
      <w:tr w:rsidR="00726E85" w:rsidTr="006D197A">
        <w:tc>
          <w:tcPr>
            <w:tcW w:w="567" w:type="dxa"/>
          </w:tcPr>
          <w:p w:rsidR="00726E85" w:rsidRDefault="00726E85" w:rsidP="00330C00">
            <w:pPr>
              <w:spacing w:beforeLines="20" w:before="48" w:afterLines="20" w:after="48"/>
            </w:pPr>
            <w:r>
              <w:t>1</w:t>
            </w:r>
          </w:p>
        </w:tc>
        <w:tc>
          <w:tcPr>
            <w:tcW w:w="5669" w:type="dxa"/>
          </w:tcPr>
          <w:p w:rsidR="00726E85" w:rsidRPr="00C86CDA" w:rsidRDefault="00726E85" w:rsidP="00330C00">
            <w:pPr>
              <w:spacing w:beforeLines="20" w:before="48" w:afterLines="20" w:after="48"/>
            </w:pPr>
            <w:r w:rsidRPr="00C86CDA">
              <w:t xml:space="preserve">Greater use of effective forms of group feedback being used, such as peer assessment, use of model answers, or engagement with the marking criteria in a small group seminar.  </w:t>
            </w:r>
          </w:p>
        </w:tc>
        <w:tc>
          <w:tcPr>
            <w:tcW w:w="5669" w:type="dxa"/>
          </w:tcPr>
          <w:p w:rsidR="00726E85" w:rsidRDefault="00330C00" w:rsidP="00330C00">
            <w:pPr>
              <w:spacing w:beforeLines="20" w:before="48" w:afterLines="20" w:after="48"/>
            </w:pPr>
            <w:r>
              <w:t xml:space="preserve">LTA update </w:t>
            </w:r>
            <w:r w:rsidR="00D56CC4">
              <w:t xml:space="preserve">to be circulated to staff </w:t>
            </w:r>
            <w:r>
              <w:t>to draw staff attention to students’ preference for these types of group feedback.</w:t>
            </w:r>
          </w:p>
        </w:tc>
        <w:tc>
          <w:tcPr>
            <w:tcW w:w="2268" w:type="dxa"/>
          </w:tcPr>
          <w:p w:rsidR="00726E85" w:rsidRDefault="007706D7" w:rsidP="00330C00">
            <w:pPr>
              <w:spacing w:beforeLines="20" w:before="48" w:afterLines="20" w:after="48"/>
            </w:pPr>
            <w:r>
              <w:t>ADE</w:t>
            </w:r>
          </w:p>
        </w:tc>
      </w:tr>
      <w:tr w:rsidR="00726E85" w:rsidTr="006D197A">
        <w:tc>
          <w:tcPr>
            <w:tcW w:w="567" w:type="dxa"/>
          </w:tcPr>
          <w:p w:rsidR="00726E85" w:rsidRDefault="00726E85" w:rsidP="00330C00">
            <w:pPr>
              <w:spacing w:beforeLines="20" w:before="48" w:afterLines="20" w:after="48"/>
            </w:pPr>
            <w:r>
              <w:t>2</w:t>
            </w:r>
          </w:p>
        </w:tc>
        <w:tc>
          <w:tcPr>
            <w:tcW w:w="5669" w:type="dxa"/>
          </w:tcPr>
          <w:p w:rsidR="00726E85" w:rsidRPr="00C86CDA" w:rsidRDefault="00726E85" w:rsidP="00330C00">
            <w:pPr>
              <w:spacing w:beforeLines="20" w:before="48" w:afterLines="20" w:after="48"/>
            </w:pPr>
            <w:r w:rsidRPr="00C86CDA">
              <w:t xml:space="preserve">All summative assessment coming with detailed, personalised, and constructive feedback to enable students to improve their marks for future assignments.  </w:t>
            </w:r>
          </w:p>
        </w:tc>
        <w:tc>
          <w:tcPr>
            <w:tcW w:w="5669" w:type="dxa"/>
          </w:tcPr>
          <w:p w:rsidR="00726E85" w:rsidRDefault="007706D7" w:rsidP="007706D7">
            <w:pPr>
              <w:spacing w:beforeLines="20" w:before="48" w:afterLines="20" w:after="48"/>
            </w:pPr>
            <w:r>
              <w:t xml:space="preserve">This should be happening already for all summative assessments that also serve a formative purpose.  </w:t>
            </w:r>
            <w:r w:rsidR="005E2F3B" w:rsidRPr="005E2F3B">
              <w:t>Students can report feedback arrangements perceived to be ineffect</w:t>
            </w:r>
            <w:r w:rsidR="005E2F3B">
              <w:t xml:space="preserve">ual through existing mechanisms </w:t>
            </w:r>
            <w:r>
              <w:t>(e.g. Boards of Study, module evaluation).</w:t>
            </w:r>
          </w:p>
        </w:tc>
        <w:tc>
          <w:tcPr>
            <w:tcW w:w="2268" w:type="dxa"/>
          </w:tcPr>
          <w:p w:rsidR="00726E85" w:rsidRDefault="00855D59" w:rsidP="00330C00">
            <w:pPr>
              <w:spacing w:beforeLines="20" w:before="48" w:afterLines="20" w:after="48"/>
            </w:pPr>
            <w:r>
              <w:t>Programme teams</w:t>
            </w:r>
          </w:p>
        </w:tc>
      </w:tr>
      <w:tr w:rsidR="00726E85" w:rsidTr="006D197A">
        <w:tc>
          <w:tcPr>
            <w:tcW w:w="567" w:type="dxa"/>
          </w:tcPr>
          <w:p w:rsidR="00726E85" w:rsidRDefault="00726E85" w:rsidP="00330C00">
            <w:pPr>
              <w:spacing w:beforeLines="20" w:before="48" w:afterLines="20" w:after="48"/>
            </w:pPr>
            <w:r>
              <w:t>3</w:t>
            </w:r>
          </w:p>
        </w:tc>
        <w:tc>
          <w:tcPr>
            <w:tcW w:w="5669" w:type="dxa"/>
          </w:tcPr>
          <w:p w:rsidR="00726E85" w:rsidRPr="00C86CDA" w:rsidRDefault="00726E85" w:rsidP="00330C00">
            <w:pPr>
              <w:spacing w:beforeLines="20" w:before="48" w:afterLines="20" w:after="48"/>
            </w:pPr>
            <w:r w:rsidRPr="00C86CDA">
              <w:t xml:space="preserve">Face-to-face feedback being offered to all students who request this form of feedback on all summative assessments.  </w:t>
            </w:r>
          </w:p>
        </w:tc>
        <w:tc>
          <w:tcPr>
            <w:tcW w:w="5669" w:type="dxa"/>
          </w:tcPr>
          <w:p w:rsidR="00726E85" w:rsidRDefault="00D56CC4" w:rsidP="00330C00">
            <w:pPr>
              <w:spacing w:beforeLines="20" w:before="48" w:afterLines="20" w:after="48"/>
            </w:pPr>
            <w:r>
              <w:t xml:space="preserve">LTA update to be circulated to staff </w:t>
            </w:r>
            <w:r w:rsidR="00330C00">
              <w:t>to reinforce that this is available</w:t>
            </w:r>
            <w:r w:rsidR="007706D7">
              <w:t xml:space="preserve"> to students</w:t>
            </w:r>
            <w:r w:rsidR="00330C00">
              <w:t xml:space="preserve"> on all summative (and formative) assessments.</w:t>
            </w:r>
          </w:p>
        </w:tc>
        <w:tc>
          <w:tcPr>
            <w:tcW w:w="2268" w:type="dxa"/>
          </w:tcPr>
          <w:p w:rsidR="00726E85" w:rsidRDefault="007706D7" w:rsidP="00330C00">
            <w:pPr>
              <w:spacing w:beforeLines="20" w:before="48" w:afterLines="20" w:after="48"/>
            </w:pPr>
            <w:r>
              <w:t>ADE</w:t>
            </w:r>
          </w:p>
        </w:tc>
      </w:tr>
      <w:tr w:rsidR="00726E85" w:rsidTr="006D197A">
        <w:tc>
          <w:tcPr>
            <w:tcW w:w="567" w:type="dxa"/>
          </w:tcPr>
          <w:p w:rsidR="00726E85" w:rsidRDefault="00726E85" w:rsidP="00330C00">
            <w:pPr>
              <w:spacing w:beforeLines="20" w:before="48" w:afterLines="20" w:after="48"/>
            </w:pPr>
            <w:r>
              <w:t>4</w:t>
            </w:r>
          </w:p>
        </w:tc>
        <w:tc>
          <w:tcPr>
            <w:tcW w:w="5669" w:type="dxa"/>
          </w:tcPr>
          <w:p w:rsidR="00726E85" w:rsidRPr="00C86CDA" w:rsidRDefault="00726E85" w:rsidP="00330C00">
            <w:pPr>
              <w:spacing w:beforeLines="20" w:before="48" w:afterLines="20" w:after="48"/>
            </w:pPr>
            <w:r w:rsidRPr="00C86CDA">
              <w:t xml:space="preserve">Increased use of formative assessments, such as presentations, that will enable students to reflect on their performance and develop their personal and employability skills.  </w:t>
            </w:r>
          </w:p>
        </w:tc>
        <w:tc>
          <w:tcPr>
            <w:tcW w:w="5669" w:type="dxa"/>
          </w:tcPr>
          <w:p w:rsidR="00726E85" w:rsidRDefault="00807A8A" w:rsidP="00D56CC4">
            <w:pPr>
              <w:spacing w:beforeLines="20" w:before="48" w:afterLines="20" w:after="48"/>
            </w:pPr>
            <w:r>
              <w:t>This is been addressed through changes in the academic framework that further reduce expectations around summative assessment loading.  Whereas a typical degree classification under the 12c system would be determined from 30 summative assessment</w:t>
            </w:r>
            <w:r w:rsidR="00D56CC4">
              <w:t xml:space="preserve"> marks</w:t>
            </w:r>
            <w:r>
              <w:t xml:space="preserve">, this is being reduced to 24 under the 10c system.  The expectation is that this will provide more opportunities for formative assessments of the type </w:t>
            </w:r>
            <w:r w:rsidR="00D56CC4">
              <w:t>requested</w:t>
            </w:r>
            <w:r>
              <w:t>.</w:t>
            </w:r>
          </w:p>
        </w:tc>
        <w:tc>
          <w:tcPr>
            <w:tcW w:w="2268" w:type="dxa"/>
          </w:tcPr>
          <w:p w:rsidR="00726E85" w:rsidRDefault="00807A8A" w:rsidP="00330C00">
            <w:pPr>
              <w:spacing w:beforeLines="20" w:before="48" w:afterLines="20" w:after="48"/>
            </w:pPr>
            <w:r>
              <w:t>N/A</w:t>
            </w:r>
          </w:p>
        </w:tc>
      </w:tr>
      <w:tr w:rsidR="00726E85" w:rsidTr="006D197A">
        <w:tc>
          <w:tcPr>
            <w:tcW w:w="567" w:type="dxa"/>
          </w:tcPr>
          <w:p w:rsidR="00726E85" w:rsidRDefault="00726E85" w:rsidP="00330C00">
            <w:pPr>
              <w:spacing w:beforeLines="20" w:before="48" w:afterLines="20" w:after="48"/>
            </w:pPr>
            <w:r>
              <w:t>5</w:t>
            </w:r>
          </w:p>
        </w:tc>
        <w:tc>
          <w:tcPr>
            <w:tcW w:w="5669" w:type="dxa"/>
          </w:tcPr>
          <w:p w:rsidR="00726E85" w:rsidRPr="00C86CDA" w:rsidRDefault="00726E85" w:rsidP="00330C00">
            <w:pPr>
              <w:spacing w:beforeLines="20" w:before="48" w:afterLines="20" w:after="48"/>
            </w:pPr>
            <w:r w:rsidRPr="00C86CDA">
              <w:t xml:space="preserve">Assessment Mapping (as shared as good practice by the Liverpool Screen School and used in other schools such as the School of the Built Environment) be implemented across the institution as soon as practicable.  </w:t>
            </w:r>
          </w:p>
        </w:tc>
        <w:tc>
          <w:tcPr>
            <w:tcW w:w="5669" w:type="dxa"/>
          </w:tcPr>
          <w:p w:rsidR="00726E85" w:rsidRDefault="00807A8A" w:rsidP="00330C00">
            <w:pPr>
              <w:spacing w:beforeLines="20" w:before="48" w:afterLines="20" w:after="48"/>
            </w:pPr>
            <w:r>
              <w:t>PASS project (below)</w:t>
            </w:r>
          </w:p>
        </w:tc>
        <w:tc>
          <w:tcPr>
            <w:tcW w:w="2268" w:type="dxa"/>
          </w:tcPr>
          <w:p w:rsidR="00726E85" w:rsidRDefault="00807A8A" w:rsidP="00330C00">
            <w:pPr>
              <w:spacing w:beforeLines="20" w:before="48" w:afterLines="20" w:after="48"/>
            </w:pPr>
            <w:r>
              <w:t>ADE</w:t>
            </w:r>
          </w:p>
        </w:tc>
      </w:tr>
      <w:tr w:rsidR="00726E85" w:rsidTr="006D197A">
        <w:tc>
          <w:tcPr>
            <w:tcW w:w="567" w:type="dxa"/>
          </w:tcPr>
          <w:p w:rsidR="00726E85" w:rsidRDefault="00726E85" w:rsidP="00330C00">
            <w:pPr>
              <w:spacing w:beforeLines="20" w:before="48" w:afterLines="20" w:after="48"/>
            </w:pPr>
            <w:r>
              <w:lastRenderedPageBreak/>
              <w:t>6</w:t>
            </w:r>
          </w:p>
        </w:tc>
        <w:tc>
          <w:tcPr>
            <w:tcW w:w="5669" w:type="dxa"/>
          </w:tcPr>
          <w:p w:rsidR="00726E85" w:rsidRPr="00C86CDA" w:rsidRDefault="00726E85" w:rsidP="00330C00">
            <w:pPr>
              <w:spacing w:beforeLines="20" w:before="48" w:afterLines="20" w:after="48"/>
            </w:pPr>
            <w:r w:rsidRPr="00C86CDA">
              <w:t xml:space="preserve">A calendar of deadlines to be made available to students prior to module selection, to avoid the potential clustering of assessment deadlines.  </w:t>
            </w:r>
          </w:p>
        </w:tc>
        <w:tc>
          <w:tcPr>
            <w:tcW w:w="5669" w:type="dxa"/>
          </w:tcPr>
          <w:p w:rsidR="00726E85" w:rsidRDefault="00807A8A" w:rsidP="00330C00">
            <w:pPr>
              <w:spacing w:beforeLines="20" w:before="48" w:afterLines="20" w:after="48"/>
            </w:pPr>
            <w:r>
              <w:t>PASS project (below)</w:t>
            </w:r>
          </w:p>
        </w:tc>
        <w:tc>
          <w:tcPr>
            <w:tcW w:w="2268" w:type="dxa"/>
          </w:tcPr>
          <w:p w:rsidR="00726E85" w:rsidRDefault="00807A8A" w:rsidP="00330C00">
            <w:pPr>
              <w:spacing w:beforeLines="20" w:before="48" w:afterLines="20" w:after="48"/>
            </w:pPr>
            <w:r>
              <w:t>ADE</w:t>
            </w:r>
          </w:p>
        </w:tc>
      </w:tr>
      <w:tr w:rsidR="00726E85" w:rsidTr="006D197A">
        <w:tc>
          <w:tcPr>
            <w:tcW w:w="567" w:type="dxa"/>
          </w:tcPr>
          <w:p w:rsidR="00726E85" w:rsidRDefault="00726E85" w:rsidP="00330C00">
            <w:pPr>
              <w:spacing w:beforeLines="20" w:before="48" w:afterLines="20" w:after="48"/>
            </w:pPr>
            <w:r>
              <w:t>7</w:t>
            </w:r>
          </w:p>
        </w:tc>
        <w:tc>
          <w:tcPr>
            <w:tcW w:w="5669" w:type="dxa"/>
          </w:tcPr>
          <w:p w:rsidR="00726E85" w:rsidRPr="00C86CDA" w:rsidRDefault="00726E85" w:rsidP="00330C00">
            <w:pPr>
              <w:spacing w:beforeLines="20" w:before="48" w:afterLines="20" w:after="48"/>
            </w:pPr>
            <w:r w:rsidRPr="00C86CDA">
              <w:t xml:space="preserve">An introduction to University study skills included in the induction period for every student and that sessions on specific types of assessment are offered before each type is attempted by students for the first time.  </w:t>
            </w:r>
          </w:p>
        </w:tc>
        <w:tc>
          <w:tcPr>
            <w:tcW w:w="5669" w:type="dxa"/>
          </w:tcPr>
          <w:p w:rsidR="00726E85" w:rsidRDefault="00807A8A" w:rsidP="00330C00">
            <w:pPr>
              <w:spacing w:beforeLines="20" w:before="48" w:afterLines="20" w:after="48"/>
            </w:pPr>
            <w:r>
              <w:t>Faculty of Science core tutorial scheme already includes a dedicated session on University assessment practices, early on in Semester one.</w:t>
            </w:r>
          </w:p>
        </w:tc>
        <w:tc>
          <w:tcPr>
            <w:tcW w:w="2268" w:type="dxa"/>
          </w:tcPr>
          <w:p w:rsidR="00726E85" w:rsidRDefault="00807A8A" w:rsidP="00330C00">
            <w:pPr>
              <w:spacing w:beforeLines="20" w:before="48" w:afterLines="20" w:after="48"/>
            </w:pPr>
            <w:r>
              <w:t>N/A</w:t>
            </w:r>
          </w:p>
        </w:tc>
      </w:tr>
      <w:tr w:rsidR="00726E85" w:rsidTr="006D197A">
        <w:tc>
          <w:tcPr>
            <w:tcW w:w="567" w:type="dxa"/>
          </w:tcPr>
          <w:p w:rsidR="00726E85" w:rsidRDefault="00726E85" w:rsidP="00330C00">
            <w:pPr>
              <w:spacing w:beforeLines="20" w:before="48" w:afterLines="20" w:after="48"/>
            </w:pPr>
            <w:r>
              <w:t>8</w:t>
            </w:r>
          </w:p>
        </w:tc>
        <w:tc>
          <w:tcPr>
            <w:tcW w:w="5669" w:type="dxa"/>
          </w:tcPr>
          <w:p w:rsidR="00726E85" w:rsidRPr="00C86CDA" w:rsidRDefault="00726E85" w:rsidP="00330C00">
            <w:pPr>
              <w:spacing w:beforeLines="20" w:before="48" w:afterLines="20" w:after="48"/>
            </w:pPr>
            <w:r w:rsidRPr="00C86CDA">
              <w:t xml:space="preserve">Study skills support provided by Student Advice and Wellbeing (SAW) being advertised through students’ lecturers and personal tutors, especially during busy assessment periods.  </w:t>
            </w:r>
          </w:p>
        </w:tc>
        <w:tc>
          <w:tcPr>
            <w:tcW w:w="5669" w:type="dxa"/>
          </w:tcPr>
          <w:p w:rsidR="00726E85" w:rsidRDefault="00D56CC4" w:rsidP="00D56CC4">
            <w:pPr>
              <w:spacing w:beforeLines="20" w:before="48" w:afterLines="20" w:after="48"/>
            </w:pPr>
            <w:r>
              <w:t xml:space="preserve">LTA update to be circulated to staff </w:t>
            </w:r>
            <w:r w:rsidR="00807A8A">
              <w:t>to draw attention to where information</w:t>
            </w:r>
            <w:r>
              <w:t xml:space="preserve"> around Skills Support</w:t>
            </w:r>
            <w:r w:rsidR="00807A8A">
              <w:t xml:space="preserve"> is located within the website.</w:t>
            </w:r>
          </w:p>
        </w:tc>
        <w:tc>
          <w:tcPr>
            <w:tcW w:w="2268" w:type="dxa"/>
          </w:tcPr>
          <w:p w:rsidR="00726E85" w:rsidRDefault="00807A8A" w:rsidP="00330C00">
            <w:pPr>
              <w:spacing w:beforeLines="20" w:before="48" w:afterLines="20" w:after="48"/>
            </w:pPr>
            <w:r>
              <w:t>ADE</w:t>
            </w:r>
          </w:p>
        </w:tc>
      </w:tr>
      <w:tr w:rsidR="00855D59" w:rsidTr="00726E85">
        <w:tc>
          <w:tcPr>
            <w:tcW w:w="567" w:type="dxa"/>
          </w:tcPr>
          <w:p w:rsidR="00855D59" w:rsidRDefault="00855D59" w:rsidP="00330C00">
            <w:pPr>
              <w:spacing w:beforeLines="20" w:before="48" w:afterLines="20" w:after="48"/>
            </w:pPr>
            <w:r>
              <w:t>9</w:t>
            </w:r>
          </w:p>
        </w:tc>
        <w:tc>
          <w:tcPr>
            <w:tcW w:w="5669" w:type="dxa"/>
          </w:tcPr>
          <w:p w:rsidR="00855D59" w:rsidRPr="00C86CDA" w:rsidRDefault="00855D59" w:rsidP="00330C00">
            <w:pPr>
              <w:spacing w:beforeLines="20" w:before="48" w:afterLines="20" w:after="48"/>
            </w:pPr>
            <w:r w:rsidRPr="00C86CDA">
              <w:t xml:space="preserve">Students being offered sessions with tutors to discuss the marking criteria and ensure they have not misunderstood it –this is especially important on heavily weighted assessments.  </w:t>
            </w:r>
          </w:p>
        </w:tc>
        <w:tc>
          <w:tcPr>
            <w:tcW w:w="5669" w:type="dxa"/>
          </w:tcPr>
          <w:p w:rsidR="00855D59" w:rsidRDefault="00855D59" w:rsidP="005E2F3B">
            <w:pPr>
              <w:spacing w:beforeLines="20" w:before="48" w:afterLines="20" w:after="48"/>
            </w:pPr>
            <w:r>
              <w:t>This should be happening already and it may be through ad hoc one-to-one meetings or discussion boards set up by tutors</w:t>
            </w:r>
            <w:proofErr w:type="gramStart"/>
            <w:r>
              <w:t xml:space="preserve">. </w:t>
            </w:r>
            <w:proofErr w:type="gramEnd"/>
            <w:r>
              <w:t>Students can report</w:t>
            </w:r>
            <w:r w:rsidRPr="005E2F3B">
              <w:t xml:space="preserve"> feedback arrangements </w:t>
            </w:r>
            <w:r>
              <w:t xml:space="preserve">perceived to be ineffectual </w:t>
            </w:r>
            <w:r w:rsidRPr="005E2F3B">
              <w:t>through existing mechanisms</w:t>
            </w:r>
            <w:r>
              <w:t>.</w:t>
            </w:r>
          </w:p>
        </w:tc>
        <w:tc>
          <w:tcPr>
            <w:tcW w:w="2268" w:type="dxa"/>
          </w:tcPr>
          <w:p w:rsidR="00855D59" w:rsidRDefault="00855D59" w:rsidP="00895640">
            <w:pPr>
              <w:spacing w:beforeLines="20" w:before="48" w:afterLines="20" w:after="48"/>
            </w:pPr>
            <w:r>
              <w:t>Programme teams</w:t>
            </w:r>
          </w:p>
        </w:tc>
      </w:tr>
      <w:tr w:rsidR="00855D59" w:rsidTr="00726E85">
        <w:tc>
          <w:tcPr>
            <w:tcW w:w="567" w:type="dxa"/>
          </w:tcPr>
          <w:p w:rsidR="00855D59" w:rsidRDefault="00855D59" w:rsidP="00330C00">
            <w:pPr>
              <w:spacing w:beforeLines="20" w:before="48" w:afterLines="20" w:after="48"/>
            </w:pPr>
            <w:r>
              <w:t>10</w:t>
            </w:r>
          </w:p>
        </w:tc>
        <w:tc>
          <w:tcPr>
            <w:tcW w:w="5669" w:type="dxa"/>
          </w:tcPr>
          <w:p w:rsidR="00855D59" w:rsidRDefault="00855D59" w:rsidP="00330C00">
            <w:pPr>
              <w:spacing w:beforeLines="20" w:before="48" w:afterLines="20" w:after="48"/>
            </w:pPr>
            <w:r w:rsidRPr="00C86CDA">
              <w:t>Students being offered feedback on drafts in tutorials when requested in order to allow them time to impr</w:t>
            </w:r>
            <w:r>
              <w:t>ove before their next deadline.</w:t>
            </w:r>
          </w:p>
        </w:tc>
        <w:tc>
          <w:tcPr>
            <w:tcW w:w="5669" w:type="dxa"/>
          </w:tcPr>
          <w:p w:rsidR="00855D59" w:rsidRDefault="00855D59" w:rsidP="000F104D">
            <w:pPr>
              <w:spacing w:beforeLines="20" w:before="48" w:afterLines="20" w:after="48"/>
            </w:pPr>
            <w:r>
              <w:t>Guidance is provided to students over when/if drafts can be reviewed.  This is to ensure equity in student experience on programmes within available resources</w:t>
            </w:r>
            <w:proofErr w:type="gramStart"/>
            <w:r>
              <w:t xml:space="preserve">. </w:t>
            </w:r>
            <w:proofErr w:type="gramEnd"/>
            <w:r>
              <w:t>Students can report</w:t>
            </w:r>
            <w:r w:rsidRPr="005E2F3B">
              <w:t xml:space="preserve"> feedback arrangements </w:t>
            </w:r>
            <w:r>
              <w:t xml:space="preserve">perceived to be ineffectual </w:t>
            </w:r>
            <w:r w:rsidRPr="005E2F3B">
              <w:t>through existing mechanisms</w:t>
            </w:r>
            <w:r>
              <w:t>.</w:t>
            </w:r>
          </w:p>
        </w:tc>
        <w:tc>
          <w:tcPr>
            <w:tcW w:w="2268" w:type="dxa"/>
          </w:tcPr>
          <w:p w:rsidR="00855D59" w:rsidRDefault="00855D59" w:rsidP="00895640">
            <w:pPr>
              <w:spacing w:beforeLines="20" w:before="48" w:afterLines="20" w:after="48"/>
            </w:pPr>
            <w:r>
              <w:t>Programme teams</w:t>
            </w:r>
          </w:p>
        </w:tc>
      </w:tr>
    </w:tbl>
    <w:p w:rsidR="00B023EE" w:rsidRDefault="00B023EE" w:rsidP="00B023EE">
      <w:pPr>
        <w:jc w:val="right"/>
      </w:pPr>
    </w:p>
    <w:p w:rsidR="00B023EE" w:rsidRPr="00A87706" w:rsidRDefault="00B023EE" w:rsidP="00B023EE">
      <w:pPr>
        <w:jc w:val="right"/>
      </w:pPr>
      <w:r>
        <w:t>Phil Denton, ADE</w:t>
      </w:r>
    </w:p>
    <w:p w:rsidR="00A87706" w:rsidRDefault="00B023EE" w:rsidP="00B023EE">
      <w:pPr>
        <w:jc w:val="right"/>
      </w:pPr>
      <w:r>
        <w:t xml:space="preserve">Approved </w:t>
      </w:r>
      <w:proofErr w:type="spellStart"/>
      <w:r>
        <w:t>FEC</w:t>
      </w:r>
      <w:proofErr w:type="spellEnd"/>
      <w:r>
        <w:t xml:space="preserve"> 11/5/16</w:t>
      </w:r>
    </w:p>
    <w:p w:rsidR="00D56CC4" w:rsidRDefault="00D56CC4">
      <w:pPr>
        <w:rPr>
          <w:b/>
        </w:rPr>
      </w:pPr>
      <w:r>
        <w:rPr>
          <w:b/>
        </w:rPr>
        <w:br w:type="page"/>
      </w:r>
    </w:p>
    <w:p w:rsidR="00D56CC4" w:rsidRDefault="00D56CC4" w:rsidP="00B023EE">
      <w:pPr>
        <w:ind w:right="110"/>
        <w:jc w:val="right"/>
        <w:rPr>
          <w:b/>
        </w:rPr>
        <w:sectPr w:rsidR="00D56CC4" w:rsidSect="00A87706">
          <w:pgSz w:w="16838" w:h="11906" w:orient="landscape"/>
          <w:pgMar w:top="1440" w:right="1440" w:bottom="1440" w:left="1440" w:header="708" w:footer="708" w:gutter="0"/>
          <w:cols w:space="708"/>
          <w:docGrid w:linePitch="360"/>
        </w:sectPr>
      </w:pPr>
    </w:p>
    <w:p w:rsidR="00E44F90" w:rsidRDefault="00D56CC4">
      <w:pPr>
        <w:rPr>
          <w:b/>
        </w:rPr>
      </w:pPr>
      <w:r>
        <w:rPr>
          <w:b/>
        </w:rPr>
        <w:lastRenderedPageBreak/>
        <w:t>Personalised</w:t>
      </w:r>
      <w:r w:rsidR="00237FE8" w:rsidRPr="00237FE8">
        <w:rPr>
          <w:b/>
        </w:rPr>
        <w:t xml:space="preserve"> Assessment Schedules </w:t>
      </w:r>
      <w:r>
        <w:rPr>
          <w:b/>
        </w:rPr>
        <w:t>for</w:t>
      </w:r>
      <w:r w:rsidR="00237FE8" w:rsidRPr="00237FE8">
        <w:rPr>
          <w:b/>
        </w:rPr>
        <w:t xml:space="preserve"> Science (PASS) Project Proposal</w:t>
      </w:r>
    </w:p>
    <w:p w:rsidR="00237FE8" w:rsidRDefault="00237FE8">
      <w:r>
        <w:t xml:space="preserve">The President of </w:t>
      </w:r>
      <w:proofErr w:type="spellStart"/>
      <w:r>
        <w:t>LiverpoolSU</w:t>
      </w:r>
      <w:proofErr w:type="spellEnd"/>
      <w:r>
        <w:t xml:space="preserve"> </w:t>
      </w:r>
      <w:r w:rsidR="00D56CC4">
        <w:t>has</w:t>
      </w:r>
      <w:r>
        <w:t xml:space="preserve"> confirmed that </w:t>
      </w:r>
      <w:r w:rsidR="00D56CC4">
        <w:t>recommendations 5 and 6, above,</w:t>
      </w:r>
      <w:r>
        <w:t xml:space="preserve"> </w:t>
      </w:r>
      <w:r w:rsidR="00D56CC4">
        <w:t>are included within th</w:t>
      </w:r>
      <w:r>
        <w:t>eir ‘Top 5’ priorities for 2016/17.</w:t>
      </w:r>
      <w:r w:rsidR="00D56CC4">
        <w:t xml:space="preserve">  </w:t>
      </w:r>
      <w:r w:rsidR="003032A5">
        <w:t>The two proposals will be challenging to address, particularly recommendation 6</w:t>
      </w:r>
      <w:r w:rsidR="00D56CC4">
        <w:t xml:space="preserve">. </w:t>
      </w:r>
      <w:r w:rsidR="003032A5">
        <w:t xml:space="preserve"> Science assessment deadlines are often linked to laboratory class timings which can only be fully resolved once final student numbers are confirmed in September</w:t>
      </w:r>
      <w:r w:rsidR="00D56CC4">
        <w:t xml:space="preserve">.  Students </w:t>
      </w:r>
      <w:r w:rsidR="003032A5">
        <w:t>complete online registration (</w:t>
      </w:r>
      <w:proofErr w:type="spellStart"/>
      <w:r w:rsidR="003032A5">
        <w:t>OMR</w:t>
      </w:r>
      <w:proofErr w:type="spellEnd"/>
      <w:r w:rsidR="003032A5">
        <w:t>) in April/May.</w:t>
      </w:r>
      <w:r w:rsidR="00D56CC4">
        <w:t xml:space="preserve">  </w:t>
      </w:r>
    </w:p>
    <w:p w:rsidR="00237FE8" w:rsidRDefault="00237FE8">
      <w:proofErr w:type="spellStart"/>
      <w:r>
        <w:t>FEC</w:t>
      </w:r>
      <w:proofErr w:type="spellEnd"/>
      <w:r>
        <w:t xml:space="preserve"> will be aware that we have a system to collect </w:t>
      </w:r>
      <w:r w:rsidR="00505190">
        <w:t xml:space="preserve">coursework </w:t>
      </w:r>
      <w:r>
        <w:t>assessment deadlines from module guides and present them on unified schedules.</w:t>
      </w:r>
      <w:r w:rsidR="00D56CC4">
        <w:t xml:space="preserve">  </w:t>
      </w:r>
      <w:r w:rsidR="00505190">
        <w:t xml:space="preserve">Programmes may opt in to this service and it </w:t>
      </w:r>
      <w:r w:rsidR="00D56CC4">
        <w:t>has advantages and disadvantages:</w:t>
      </w:r>
    </w:p>
    <w:tbl>
      <w:tblPr>
        <w:tblStyle w:val="TableGrid"/>
        <w:tblW w:w="0" w:type="auto"/>
        <w:tblLook w:val="04A0" w:firstRow="1" w:lastRow="0" w:firstColumn="1" w:lastColumn="0" w:noHBand="0" w:noVBand="1"/>
      </w:tblPr>
      <w:tblGrid>
        <w:gridCol w:w="4621"/>
        <w:gridCol w:w="4621"/>
      </w:tblGrid>
      <w:tr w:rsidR="00D56CC4" w:rsidTr="00D56CC4">
        <w:tc>
          <w:tcPr>
            <w:tcW w:w="4621" w:type="dxa"/>
          </w:tcPr>
          <w:p w:rsidR="00D56CC4" w:rsidRDefault="00D56CC4">
            <w:r>
              <w:t>Advantages</w:t>
            </w:r>
          </w:p>
        </w:tc>
        <w:tc>
          <w:tcPr>
            <w:tcW w:w="4621" w:type="dxa"/>
          </w:tcPr>
          <w:p w:rsidR="00D56CC4" w:rsidRDefault="00D56CC4" w:rsidP="00D56CC4">
            <w:r>
              <w:t>Disadvantages</w:t>
            </w:r>
          </w:p>
        </w:tc>
      </w:tr>
      <w:tr w:rsidR="00D56CC4" w:rsidTr="00D56CC4">
        <w:tc>
          <w:tcPr>
            <w:tcW w:w="4621" w:type="dxa"/>
          </w:tcPr>
          <w:p w:rsidR="00D56CC4" w:rsidRDefault="00505190" w:rsidP="00D56CC4">
            <w:pPr>
              <w:pStyle w:val="ListParagraph"/>
              <w:numPr>
                <w:ilvl w:val="0"/>
                <w:numId w:val="1"/>
              </w:numPr>
            </w:pPr>
            <w:r>
              <w:t>Coursework</w:t>
            </w:r>
            <w:r w:rsidR="00D56CC4">
              <w:t xml:space="preserve"> set and due dates presented on a convenient calendar format.</w:t>
            </w:r>
          </w:p>
          <w:p w:rsidR="00D56CC4" w:rsidRDefault="00D56CC4" w:rsidP="00D56CC4">
            <w:pPr>
              <w:pStyle w:val="ListParagraph"/>
              <w:numPr>
                <w:ilvl w:val="0"/>
                <w:numId w:val="1"/>
              </w:numPr>
            </w:pPr>
            <w:r>
              <w:t>Students may customise the schedule so that only assessments relevant to them are shown.</w:t>
            </w:r>
          </w:p>
          <w:p w:rsidR="00D56CC4" w:rsidRDefault="00D56CC4" w:rsidP="00D56CC4">
            <w:pPr>
              <w:pStyle w:val="ListParagraph"/>
              <w:numPr>
                <w:ilvl w:val="0"/>
                <w:numId w:val="1"/>
              </w:numPr>
            </w:pPr>
            <w:r>
              <w:t>System can identify issues with set/due dates shown in guides (e.g. incorrect year).</w:t>
            </w:r>
          </w:p>
          <w:p w:rsidR="00D56CC4" w:rsidRDefault="00273799" w:rsidP="00505190">
            <w:pPr>
              <w:pStyle w:val="ListParagraph"/>
              <w:numPr>
                <w:ilvl w:val="0"/>
                <w:numId w:val="1"/>
              </w:numPr>
            </w:pPr>
            <w:r>
              <w:t>Provides a convenient summary of all coursework activity</w:t>
            </w:r>
            <w:r w:rsidR="00505190">
              <w:t xml:space="preserve"> for</w:t>
            </w:r>
            <w:r>
              <w:t xml:space="preserve"> Faculty </w:t>
            </w:r>
            <w:r w:rsidR="00505190">
              <w:t>a</w:t>
            </w:r>
            <w:r>
              <w:t>dminist</w:t>
            </w:r>
            <w:r w:rsidR="00505190">
              <w:t>rative staff</w:t>
            </w:r>
            <w:proofErr w:type="gramStart"/>
            <w:r>
              <w:t xml:space="preserve">. </w:t>
            </w:r>
            <w:proofErr w:type="gramEnd"/>
          </w:p>
        </w:tc>
        <w:tc>
          <w:tcPr>
            <w:tcW w:w="4621" w:type="dxa"/>
          </w:tcPr>
          <w:p w:rsidR="00D56CC4" w:rsidRDefault="00D56CC4" w:rsidP="00D56CC4">
            <w:pPr>
              <w:pStyle w:val="ListParagraph"/>
              <w:numPr>
                <w:ilvl w:val="0"/>
                <w:numId w:val="1"/>
              </w:numPr>
            </w:pPr>
            <w:r>
              <w:t>System relies on staff saving the most up-to-date version of the module guide on a dedicated file share.</w:t>
            </w:r>
          </w:p>
          <w:p w:rsidR="00505190" w:rsidRDefault="00505190" w:rsidP="00D56CC4">
            <w:pPr>
              <w:pStyle w:val="ListParagraph"/>
              <w:numPr>
                <w:ilvl w:val="0"/>
                <w:numId w:val="1"/>
              </w:numPr>
            </w:pPr>
            <w:r>
              <w:t>Data is harvested from Word documents and this requires that staff use a table template correctly.</w:t>
            </w:r>
          </w:p>
          <w:p w:rsidR="00505190" w:rsidRDefault="00505190" w:rsidP="00D56CC4">
            <w:pPr>
              <w:pStyle w:val="ListParagraph"/>
              <w:numPr>
                <w:ilvl w:val="0"/>
                <w:numId w:val="1"/>
              </w:numPr>
            </w:pPr>
            <w:r>
              <w:t>Assessment schedules are not in a mobile-compatible format.</w:t>
            </w:r>
          </w:p>
          <w:p w:rsidR="00505190" w:rsidRDefault="00505190" w:rsidP="00D56CC4">
            <w:pPr>
              <w:pStyle w:val="ListParagraph"/>
              <w:numPr>
                <w:ilvl w:val="0"/>
                <w:numId w:val="1"/>
              </w:numPr>
            </w:pPr>
            <w:r>
              <w:t xml:space="preserve">No system is in place to </w:t>
            </w:r>
            <w:proofErr w:type="gramStart"/>
            <w:r>
              <w:t>advise</w:t>
            </w:r>
            <w:proofErr w:type="gramEnd"/>
            <w:r>
              <w:t xml:space="preserve"> students of changes to schedules.</w:t>
            </w:r>
          </w:p>
        </w:tc>
      </w:tr>
    </w:tbl>
    <w:p w:rsidR="00505190" w:rsidRPr="00505190" w:rsidRDefault="00505190">
      <w:pPr>
        <w:rPr>
          <w:sz w:val="10"/>
          <w:szCs w:val="10"/>
        </w:rPr>
      </w:pPr>
    </w:p>
    <w:p w:rsidR="00DF2189" w:rsidRDefault="007A5F77">
      <w:r>
        <w:t xml:space="preserve">The schedules have been well </w:t>
      </w:r>
      <w:r w:rsidR="00505190">
        <w:t>received by students.  Appendix 1 shows slides from a presentation to Programme Leaders in June 2015.</w:t>
      </w:r>
      <w:r w:rsidR="00DF2189">
        <w:t xml:space="preserve">  </w:t>
      </w:r>
    </w:p>
    <w:p w:rsidR="00DF2189" w:rsidRDefault="00DF2189">
      <w:r>
        <w:t xml:space="preserve">We could develop this initial work and provide personalised assessment schedules for all Science students, overcoming all the disadvantages noted above.  This would only be possible if coursework set/due dates were recorded in a single location that was readily accessible to the scheduling system and academic staff alike.  Due to the issues raised above, this should not be the </w:t>
      </w:r>
      <w:r w:rsidR="007A5F77">
        <w:t>M</w:t>
      </w:r>
      <w:r>
        <w:t xml:space="preserve">odule </w:t>
      </w:r>
      <w:r w:rsidR="007A5F77">
        <w:t>G</w:t>
      </w:r>
      <w:r>
        <w:t>uide</w:t>
      </w:r>
      <w:r w:rsidR="007A5F77">
        <w:t>s</w:t>
      </w:r>
      <w:r>
        <w:t xml:space="preserve">.  </w:t>
      </w:r>
    </w:p>
    <w:p w:rsidR="00DF2189" w:rsidRDefault="00DF2189">
      <w:pPr>
        <w:rPr>
          <w:b/>
        </w:rPr>
      </w:pPr>
      <w:r>
        <w:rPr>
          <w:b/>
        </w:rPr>
        <w:t>Proposal</w:t>
      </w:r>
    </w:p>
    <w:p w:rsidR="00386894" w:rsidRDefault="00386894">
      <w:r>
        <w:t xml:space="preserve">From 2016/17, coursework deadlines are recorded only within the online </w:t>
      </w:r>
      <w:proofErr w:type="spellStart"/>
      <w:r>
        <w:t>Googlesheets</w:t>
      </w:r>
      <w:proofErr w:type="spellEnd"/>
      <w:r>
        <w:t xml:space="preserve"> used to record staff workload contributions on modules.  These online workbooks are currently composed of three sheets (Sept-Dec, Jan-Apr, </w:t>
      </w:r>
      <w:proofErr w:type="gramStart"/>
      <w:r>
        <w:t>May</w:t>
      </w:r>
      <w:proofErr w:type="gramEnd"/>
      <w:r>
        <w:t>-Aug).  We would add a fourth sheet, “Coursework” and i</w:t>
      </w:r>
      <w:r w:rsidR="007A5F77">
        <w:t>t would include the table below for recording all summative and formative assessments.</w:t>
      </w:r>
    </w:p>
    <w:tbl>
      <w:tblPr>
        <w:tblW w:w="5267" w:type="pct"/>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566"/>
        <w:gridCol w:w="2985"/>
        <w:gridCol w:w="1114"/>
        <w:gridCol w:w="1828"/>
        <w:gridCol w:w="770"/>
        <w:gridCol w:w="1155"/>
        <w:gridCol w:w="1155"/>
      </w:tblGrid>
      <w:tr w:rsidR="00D6446A" w:rsidRPr="002C59A6" w:rsidTr="00D6446A">
        <w:trPr>
          <w:trHeight w:hRule="exact" w:val="340"/>
        </w:trPr>
        <w:tc>
          <w:tcPr>
            <w:tcW w:w="2437" w:type="pct"/>
            <w:gridSpan w:val="3"/>
            <w:tcBorders>
              <w:bottom w:val="single" w:sz="4" w:space="0" w:color="auto"/>
            </w:tcBorders>
            <w:shd w:val="clear" w:color="auto" w:fill="FFFFFF"/>
            <w:vAlign w:val="center"/>
          </w:tcPr>
          <w:p w:rsidR="00D6446A" w:rsidRPr="002C59A6" w:rsidRDefault="00D6446A" w:rsidP="00D6446A">
            <w:pPr>
              <w:spacing w:after="0" w:line="240" w:lineRule="auto"/>
              <w:jc w:val="center"/>
              <w:rPr>
                <w:rFonts w:eastAsia="Times New Roman" w:cs="Arial"/>
                <w:b/>
                <w:szCs w:val="20"/>
              </w:rPr>
            </w:pPr>
            <w:r>
              <w:rPr>
                <w:rFonts w:eastAsia="Times New Roman" w:cs="Arial"/>
                <w:b/>
                <w:szCs w:val="20"/>
              </w:rPr>
              <w:t>Data confirmed for current academic year?</w:t>
            </w:r>
          </w:p>
        </w:tc>
        <w:tc>
          <w:tcPr>
            <w:tcW w:w="955" w:type="pct"/>
            <w:tcBorders>
              <w:bottom w:val="single" w:sz="4" w:space="0" w:color="auto"/>
              <w:right w:val="single" w:sz="4" w:space="0" w:color="auto"/>
            </w:tcBorders>
            <w:shd w:val="clear" w:color="auto" w:fill="FFFFFF"/>
            <w:tcMar>
              <w:top w:w="57" w:type="dxa"/>
              <w:left w:w="57" w:type="dxa"/>
              <w:bottom w:w="57" w:type="dxa"/>
              <w:right w:w="57" w:type="dxa"/>
            </w:tcMar>
            <w:vAlign w:val="center"/>
          </w:tcPr>
          <w:p w:rsidR="00D6446A" w:rsidRPr="002C59A6" w:rsidRDefault="00D6446A" w:rsidP="006D197A">
            <w:pPr>
              <w:spacing w:after="0" w:line="240" w:lineRule="auto"/>
              <w:jc w:val="both"/>
              <w:rPr>
                <w:rFonts w:eastAsia="Times New Roman" w:cs="Arial"/>
                <w:b/>
                <w:szCs w:val="20"/>
              </w:rPr>
            </w:pPr>
            <w:r>
              <w:rPr>
                <w:rFonts w:eastAsia="Times New Roman" w:cs="Arial"/>
                <w:b/>
                <w:szCs w:val="20"/>
              </w:rPr>
              <w:t>No</w:t>
            </w:r>
          </w:p>
        </w:tc>
        <w:tc>
          <w:tcPr>
            <w:tcW w:w="402" w:type="pct"/>
            <w:tcBorders>
              <w:top w:val="nil"/>
              <w:left w:val="single" w:sz="4" w:space="0" w:color="auto"/>
              <w:bottom w:val="nil"/>
              <w:right w:val="nil"/>
            </w:tcBorders>
            <w:shd w:val="clear" w:color="auto" w:fill="FFFFFF"/>
            <w:tcMar>
              <w:top w:w="57" w:type="dxa"/>
              <w:left w:w="57" w:type="dxa"/>
              <w:bottom w:w="57" w:type="dxa"/>
              <w:right w:w="57" w:type="dxa"/>
            </w:tcMar>
            <w:vAlign w:val="center"/>
          </w:tcPr>
          <w:p w:rsidR="00D6446A" w:rsidRPr="002C59A6" w:rsidRDefault="00D6446A" w:rsidP="006D197A">
            <w:pPr>
              <w:spacing w:after="0" w:line="240" w:lineRule="auto"/>
              <w:jc w:val="both"/>
              <w:rPr>
                <w:rFonts w:eastAsia="Times New Roman" w:cs="Arial"/>
                <w:b/>
                <w:szCs w:val="20"/>
              </w:rPr>
            </w:pPr>
          </w:p>
        </w:tc>
        <w:tc>
          <w:tcPr>
            <w:tcW w:w="603" w:type="pct"/>
            <w:tcBorders>
              <w:top w:val="nil"/>
              <w:left w:val="nil"/>
              <w:bottom w:val="nil"/>
              <w:right w:val="nil"/>
            </w:tcBorders>
            <w:shd w:val="clear" w:color="auto" w:fill="FFFFFF"/>
            <w:tcMar>
              <w:top w:w="57" w:type="dxa"/>
              <w:left w:w="57" w:type="dxa"/>
              <w:bottom w:w="57" w:type="dxa"/>
              <w:right w:w="57" w:type="dxa"/>
            </w:tcMar>
            <w:vAlign w:val="center"/>
          </w:tcPr>
          <w:p w:rsidR="00D6446A" w:rsidRPr="002C59A6" w:rsidRDefault="00D6446A" w:rsidP="006D197A">
            <w:pPr>
              <w:spacing w:after="0" w:line="240" w:lineRule="auto"/>
              <w:jc w:val="both"/>
              <w:rPr>
                <w:rFonts w:eastAsia="Times New Roman" w:cs="Arial"/>
                <w:b/>
                <w:szCs w:val="20"/>
              </w:rPr>
            </w:pPr>
          </w:p>
        </w:tc>
        <w:tc>
          <w:tcPr>
            <w:tcW w:w="603" w:type="pct"/>
            <w:tcBorders>
              <w:top w:val="nil"/>
              <w:left w:val="nil"/>
              <w:bottom w:val="nil"/>
              <w:right w:val="nil"/>
            </w:tcBorders>
            <w:shd w:val="clear" w:color="auto" w:fill="FFFFFF"/>
            <w:tcMar>
              <w:top w:w="57" w:type="dxa"/>
              <w:left w:w="57" w:type="dxa"/>
              <w:bottom w:w="57" w:type="dxa"/>
              <w:right w:w="57" w:type="dxa"/>
            </w:tcMar>
            <w:vAlign w:val="center"/>
          </w:tcPr>
          <w:p w:rsidR="00D6446A" w:rsidRPr="002C59A6" w:rsidRDefault="00D6446A" w:rsidP="006D197A">
            <w:pPr>
              <w:spacing w:after="0" w:line="240" w:lineRule="auto"/>
              <w:jc w:val="both"/>
              <w:rPr>
                <w:rFonts w:eastAsia="Times New Roman" w:cs="Arial"/>
                <w:b/>
                <w:szCs w:val="20"/>
              </w:rPr>
            </w:pPr>
          </w:p>
        </w:tc>
      </w:tr>
      <w:tr w:rsidR="00D6446A" w:rsidRPr="002C59A6" w:rsidTr="00D6446A">
        <w:trPr>
          <w:trHeight w:hRule="exact" w:val="170"/>
        </w:trPr>
        <w:tc>
          <w:tcPr>
            <w:tcW w:w="296" w:type="pct"/>
            <w:tcBorders>
              <w:top w:val="single" w:sz="4" w:space="0" w:color="auto"/>
              <w:left w:val="nil"/>
              <w:bottom w:val="single" w:sz="4" w:space="0" w:color="auto"/>
              <w:right w:val="nil"/>
            </w:tcBorders>
            <w:shd w:val="clear" w:color="auto" w:fill="FFFFFF"/>
            <w:vAlign w:val="center"/>
          </w:tcPr>
          <w:p w:rsidR="00D6446A" w:rsidRPr="002C59A6" w:rsidRDefault="00D6446A" w:rsidP="006D197A">
            <w:pPr>
              <w:spacing w:after="0" w:line="240" w:lineRule="auto"/>
              <w:jc w:val="center"/>
              <w:rPr>
                <w:rFonts w:eastAsia="Times New Roman" w:cs="Arial"/>
                <w:b/>
                <w:szCs w:val="20"/>
              </w:rPr>
            </w:pPr>
          </w:p>
        </w:tc>
        <w:tc>
          <w:tcPr>
            <w:tcW w:w="1559" w:type="pct"/>
            <w:tcBorders>
              <w:top w:val="single" w:sz="4" w:space="0" w:color="auto"/>
              <w:left w:val="nil"/>
              <w:bottom w:val="single" w:sz="4" w:space="0" w:color="auto"/>
              <w:right w:val="nil"/>
            </w:tcBorders>
            <w:shd w:val="clear" w:color="auto" w:fill="FFFFFF"/>
            <w:tcMar>
              <w:top w:w="57" w:type="dxa"/>
              <w:left w:w="57" w:type="dxa"/>
              <w:bottom w:w="57" w:type="dxa"/>
              <w:right w:w="57" w:type="dxa"/>
            </w:tcMar>
            <w:vAlign w:val="center"/>
          </w:tcPr>
          <w:p w:rsidR="00D6446A" w:rsidRPr="002C59A6" w:rsidRDefault="00D6446A" w:rsidP="006D197A">
            <w:pPr>
              <w:spacing w:after="0" w:line="240" w:lineRule="auto"/>
              <w:jc w:val="both"/>
              <w:rPr>
                <w:rFonts w:eastAsia="Times New Roman" w:cs="Arial"/>
                <w:b/>
                <w:szCs w:val="20"/>
              </w:rPr>
            </w:pPr>
          </w:p>
        </w:tc>
        <w:tc>
          <w:tcPr>
            <w:tcW w:w="582" w:type="pct"/>
            <w:tcBorders>
              <w:top w:val="single" w:sz="4" w:space="0" w:color="auto"/>
              <w:left w:val="nil"/>
              <w:bottom w:val="single" w:sz="4" w:space="0" w:color="auto"/>
              <w:right w:val="nil"/>
            </w:tcBorders>
            <w:shd w:val="clear" w:color="auto" w:fill="FFFFFF"/>
            <w:tcMar>
              <w:top w:w="57" w:type="dxa"/>
              <w:left w:w="57" w:type="dxa"/>
              <w:bottom w:w="57" w:type="dxa"/>
              <w:right w:w="57" w:type="dxa"/>
            </w:tcMar>
            <w:vAlign w:val="center"/>
          </w:tcPr>
          <w:p w:rsidR="00D6446A" w:rsidRPr="002C59A6" w:rsidRDefault="00D6446A" w:rsidP="006D197A">
            <w:pPr>
              <w:spacing w:after="0" w:line="240" w:lineRule="auto"/>
              <w:jc w:val="both"/>
              <w:rPr>
                <w:rFonts w:eastAsia="Times New Roman" w:cs="Arial"/>
                <w:b/>
                <w:szCs w:val="20"/>
              </w:rPr>
            </w:pPr>
          </w:p>
        </w:tc>
        <w:tc>
          <w:tcPr>
            <w:tcW w:w="955" w:type="pct"/>
            <w:tcBorders>
              <w:top w:val="single" w:sz="4" w:space="0" w:color="auto"/>
              <w:left w:val="nil"/>
              <w:bottom w:val="single" w:sz="4" w:space="0" w:color="auto"/>
              <w:right w:val="nil"/>
            </w:tcBorders>
            <w:shd w:val="clear" w:color="auto" w:fill="FFFFFF"/>
            <w:tcMar>
              <w:top w:w="57" w:type="dxa"/>
              <w:left w:w="57" w:type="dxa"/>
              <w:bottom w:w="57" w:type="dxa"/>
              <w:right w:w="57" w:type="dxa"/>
            </w:tcMar>
            <w:vAlign w:val="center"/>
          </w:tcPr>
          <w:p w:rsidR="00D6446A" w:rsidRPr="002C59A6" w:rsidRDefault="00D6446A" w:rsidP="006D197A">
            <w:pPr>
              <w:spacing w:after="0" w:line="240" w:lineRule="auto"/>
              <w:jc w:val="both"/>
              <w:rPr>
                <w:rFonts w:eastAsia="Times New Roman" w:cs="Arial"/>
                <w:b/>
                <w:szCs w:val="20"/>
              </w:rPr>
            </w:pPr>
          </w:p>
        </w:tc>
        <w:tc>
          <w:tcPr>
            <w:tcW w:w="402" w:type="pct"/>
            <w:tcBorders>
              <w:top w:val="nil"/>
              <w:left w:val="nil"/>
              <w:bottom w:val="single" w:sz="4" w:space="0" w:color="auto"/>
              <w:right w:val="nil"/>
            </w:tcBorders>
            <w:shd w:val="clear" w:color="auto" w:fill="FFFFFF"/>
            <w:tcMar>
              <w:top w:w="57" w:type="dxa"/>
              <w:left w:w="57" w:type="dxa"/>
              <w:bottom w:w="57" w:type="dxa"/>
              <w:right w:w="57" w:type="dxa"/>
            </w:tcMar>
            <w:vAlign w:val="center"/>
          </w:tcPr>
          <w:p w:rsidR="00D6446A" w:rsidRPr="002C59A6" w:rsidRDefault="00D6446A" w:rsidP="006D197A">
            <w:pPr>
              <w:spacing w:after="0" w:line="240" w:lineRule="auto"/>
              <w:jc w:val="both"/>
              <w:rPr>
                <w:rFonts w:eastAsia="Times New Roman" w:cs="Arial"/>
                <w:b/>
                <w:szCs w:val="20"/>
              </w:rPr>
            </w:pPr>
          </w:p>
        </w:tc>
        <w:tc>
          <w:tcPr>
            <w:tcW w:w="603" w:type="pct"/>
            <w:tcBorders>
              <w:top w:val="nil"/>
              <w:left w:val="nil"/>
              <w:bottom w:val="single" w:sz="4" w:space="0" w:color="auto"/>
              <w:right w:val="nil"/>
            </w:tcBorders>
            <w:shd w:val="clear" w:color="auto" w:fill="FFFFFF"/>
            <w:tcMar>
              <w:top w:w="57" w:type="dxa"/>
              <w:left w:w="57" w:type="dxa"/>
              <w:bottom w:w="57" w:type="dxa"/>
              <w:right w:w="57" w:type="dxa"/>
            </w:tcMar>
            <w:vAlign w:val="center"/>
          </w:tcPr>
          <w:p w:rsidR="00D6446A" w:rsidRPr="002C59A6" w:rsidRDefault="00D6446A" w:rsidP="006D197A">
            <w:pPr>
              <w:spacing w:after="0" w:line="240" w:lineRule="auto"/>
              <w:jc w:val="both"/>
              <w:rPr>
                <w:rFonts w:eastAsia="Times New Roman" w:cs="Arial"/>
                <w:b/>
                <w:szCs w:val="20"/>
              </w:rPr>
            </w:pPr>
          </w:p>
        </w:tc>
        <w:tc>
          <w:tcPr>
            <w:tcW w:w="603" w:type="pct"/>
            <w:tcBorders>
              <w:top w:val="nil"/>
              <w:left w:val="nil"/>
              <w:bottom w:val="single" w:sz="4" w:space="0" w:color="auto"/>
              <w:right w:val="nil"/>
            </w:tcBorders>
            <w:shd w:val="clear" w:color="auto" w:fill="FFFFFF"/>
            <w:tcMar>
              <w:top w:w="57" w:type="dxa"/>
              <w:left w:w="57" w:type="dxa"/>
              <w:bottom w:w="57" w:type="dxa"/>
              <w:right w:w="57" w:type="dxa"/>
            </w:tcMar>
            <w:vAlign w:val="center"/>
          </w:tcPr>
          <w:p w:rsidR="00D6446A" w:rsidRPr="002C59A6" w:rsidRDefault="00D6446A" w:rsidP="006D197A">
            <w:pPr>
              <w:spacing w:after="0" w:line="240" w:lineRule="auto"/>
              <w:jc w:val="both"/>
              <w:rPr>
                <w:rFonts w:eastAsia="Times New Roman" w:cs="Arial"/>
                <w:b/>
                <w:szCs w:val="20"/>
              </w:rPr>
            </w:pPr>
          </w:p>
        </w:tc>
      </w:tr>
      <w:tr w:rsidR="00386894" w:rsidRPr="002C59A6" w:rsidTr="00D6446A">
        <w:trPr>
          <w:trHeight w:hRule="exact" w:val="340"/>
        </w:trPr>
        <w:tc>
          <w:tcPr>
            <w:tcW w:w="296" w:type="pct"/>
            <w:tcBorders>
              <w:top w:val="single" w:sz="4" w:space="0" w:color="auto"/>
            </w:tcBorders>
            <w:shd w:val="clear" w:color="auto" w:fill="FFFFFF"/>
            <w:vAlign w:val="center"/>
          </w:tcPr>
          <w:p w:rsidR="00386894" w:rsidRPr="002C59A6" w:rsidRDefault="00386894" w:rsidP="00386894">
            <w:pPr>
              <w:spacing w:after="0" w:line="240" w:lineRule="auto"/>
              <w:jc w:val="center"/>
              <w:rPr>
                <w:rFonts w:eastAsia="Times New Roman" w:cs="Arial"/>
                <w:b/>
                <w:szCs w:val="20"/>
              </w:rPr>
            </w:pPr>
            <w:r>
              <w:rPr>
                <w:rFonts w:eastAsia="Times New Roman" w:cs="Arial"/>
                <w:b/>
                <w:szCs w:val="20"/>
              </w:rPr>
              <w:t>#</w:t>
            </w:r>
          </w:p>
        </w:tc>
        <w:tc>
          <w:tcPr>
            <w:tcW w:w="1559" w:type="pct"/>
            <w:tcBorders>
              <w:top w:val="single" w:sz="4" w:space="0" w:color="auto"/>
            </w:tcBorders>
            <w:shd w:val="clear" w:color="auto" w:fill="FFFFFF"/>
            <w:tcMar>
              <w:top w:w="57" w:type="dxa"/>
              <w:left w:w="57" w:type="dxa"/>
              <w:bottom w:w="57" w:type="dxa"/>
              <w:right w:w="57" w:type="dxa"/>
            </w:tcMar>
            <w:vAlign w:val="center"/>
            <w:hideMark/>
          </w:tcPr>
          <w:p w:rsidR="00386894" w:rsidRPr="002C59A6" w:rsidRDefault="00386894" w:rsidP="00386894">
            <w:pPr>
              <w:spacing w:after="0" w:line="240" w:lineRule="auto"/>
              <w:jc w:val="both"/>
              <w:rPr>
                <w:rFonts w:eastAsia="Times New Roman" w:cs="Arial"/>
                <w:b/>
                <w:szCs w:val="20"/>
              </w:rPr>
            </w:pPr>
            <w:r w:rsidRPr="002C59A6">
              <w:rPr>
                <w:rFonts w:eastAsia="Times New Roman" w:cs="Arial"/>
                <w:b/>
                <w:kern w:val="24"/>
                <w:szCs w:val="20"/>
              </w:rPr>
              <w:t>Title</w:t>
            </w:r>
          </w:p>
        </w:tc>
        <w:tc>
          <w:tcPr>
            <w:tcW w:w="582" w:type="pct"/>
            <w:tcBorders>
              <w:top w:val="single" w:sz="4" w:space="0" w:color="auto"/>
            </w:tcBorders>
            <w:shd w:val="clear" w:color="auto" w:fill="FFFFFF"/>
            <w:tcMar>
              <w:top w:w="57" w:type="dxa"/>
              <w:left w:w="57" w:type="dxa"/>
              <w:bottom w:w="57" w:type="dxa"/>
              <w:right w:w="57" w:type="dxa"/>
            </w:tcMar>
            <w:vAlign w:val="center"/>
          </w:tcPr>
          <w:p w:rsidR="00386894" w:rsidRPr="002C59A6" w:rsidRDefault="00386894" w:rsidP="00386894">
            <w:pPr>
              <w:spacing w:after="0" w:line="240" w:lineRule="auto"/>
              <w:jc w:val="both"/>
              <w:rPr>
                <w:rFonts w:eastAsia="Times New Roman" w:cs="Arial"/>
                <w:b/>
                <w:szCs w:val="20"/>
              </w:rPr>
            </w:pPr>
            <w:r w:rsidRPr="002C59A6">
              <w:rPr>
                <w:rFonts w:eastAsia="Times New Roman" w:cs="Arial"/>
                <w:b/>
                <w:kern w:val="24"/>
                <w:szCs w:val="20"/>
              </w:rPr>
              <w:t>% Weight</w:t>
            </w:r>
          </w:p>
        </w:tc>
        <w:tc>
          <w:tcPr>
            <w:tcW w:w="955" w:type="pct"/>
            <w:tcBorders>
              <w:top w:val="single" w:sz="4" w:space="0" w:color="auto"/>
            </w:tcBorders>
            <w:shd w:val="clear" w:color="auto" w:fill="FFFFFF"/>
            <w:tcMar>
              <w:top w:w="57" w:type="dxa"/>
              <w:left w:w="57" w:type="dxa"/>
              <w:bottom w:w="57" w:type="dxa"/>
              <w:right w:w="57" w:type="dxa"/>
            </w:tcMar>
            <w:vAlign w:val="center"/>
            <w:hideMark/>
          </w:tcPr>
          <w:p w:rsidR="00386894" w:rsidRPr="002C59A6" w:rsidRDefault="00386894" w:rsidP="00386894">
            <w:pPr>
              <w:spacing w:after="0" w:line="240" w:lineRule="auto"/>
              <w:jc w:val="both"/>
              <w:rPr>
                <w:rFonts w:eastAsia="Times New Roman" w:cs="Arial"/>
                <w:b/>
                <w:szCs w:val="20"/>
              </w:rPr>
            </w:pPr>
            <w:r w:rsidRPr="002C59A6">
              <w:rPr>
                <w:rFonts w:eastAsia="Times New Roman" w:cs="Arial"/>
                <w:b/>
                <w:kern w:val="24"/>
                <w:szCs w:val="20"/>
              </w:rPr>
              <w:t>Submit via</w:t>
            </w:r>
          </w:p>
        </w:tc>
        <w:tc>
          <w:tcPr>
            <w:tcW w:w="402" w:type="pct"/>
            <w:tcBorders>
              <w:top w:val="single" w:sz="4" w:space="0" w:color="auto"/>
            </w:tcBorders>
            <w:shd w:val="clear" w:color="auto" w:fill="FFFFFF"/>
            <w:tcMar>
              <w:top w:w="57" w:type="dxa"/>
              <w:left w:w="57" w:type="dxa"/>
              <w:bottom w:w="57" w:type="dxa"/>
              <w:right w:w="57" w:type="dxa"/>
            </w:tcMar>
            <w:vAlign w:val="center"/>
          </w:tcPr>
          <w:p w:rsidR="00386894" w:rsidRPr="002C59A6" w:rsidRDefault="00386894" w:rsidP="00386894">
            <w:pPr>
              <w:spacing w:after="0" w:line="240" w:lineRule="auto"/>
              <w:jc w:val="both"/>
              <w:rPr>
                <w:rFonts w:eastAsia="Times New Roman" w:cs="Arial"/>
                <w:b/>
                <w:szCs w:val="20"/>
              </w:rPr>
            </w:pPr>
            <w:r w:rsidRPr="002C59A6">
              <w:rPr>
                <w:rFonts w:eastAsia="Times New Roman" w:cs="Arial"/>
                <w:b/>
                <w:kern w:val="24"/>
                <w:szCs w:val="20"/>
              </w:rPr>
              <w:t>Group</w:t>
            </w:r>
          </w:p>
        </w:tc>
        <w:tc>
          <w:tcPr>
            <w:tcW w:w="603" w:type="pct"/>
            <w:tcBorders>
              <w:top w:val="single" w:sz="4" w:space="0" w:color="auto"/>
            </w:tcBorders>
            <w:shd w:val="clear" w:color="auto" w:fill="FFFFFF"/>
            <w:tcMar>
              <w:top w:w="57" w:type="dxa"/>
              <w:left w:w="57" w:type="dxa"/>
              <w:bottom w:w="57" w:type="dxa"/>
              <w:right w:w="57" w:type="dxa"/>
            </w:tcMar>
            <w:vAlign w:val="center"/>
            <w:hideMark/>
          </w:tcPr>
          <w:p w:rsidR="00386894" w:rsidRPr="002C59A6" w:rsidRDefault="00386894" w:rsidP="00386894">
            <w:pPr>
              <w:spacing w:after="0" w:line="240" w:lineRule="auto"/>
              <w:jc w:val="both"/>
              <w:rPr>
                <w:rFonts w:eastAsia="Times New Roman" w:cs="Arial"/>
                <w:b/>
                <w:szCs w:val="20"/>
              </w:rPr>
            </w:pPr>
            <w:r w:rsidRPr="002C59A6">
              <w:rPr>
                <w:rFonts w:eastAsia="Times New Roman" w:cs="Arial"/>
                <w:b/>
                <w:kern w:val="24"/>
                <w:szCs w:val="20"/>
              </w:rPr>
              <w:t>Date set</w:t>
            </w:r>
          </w:p>
        </w:tc>
        <w:tc>
          <w:tcPr>
            <w:tcW w:w="603" w:type="pct"/>
            <w:tcBorders>
              <w:top w:val="single" w:sz="4" w:space="0" w:color="auto"/>
            </w:tcBorders>
            <w:shd w:val="clear" w:color="auto" w:fill="FFFFFF"/>
            <w:tcMar>
              <w:top w:w="57" w:type="dxa"/>
              <w:left w:w="57" w:type="dxa"/>
              <w:bottom w:w="57" w:type="dxa"/>
              <w:right w:w="57" w:type="dxa"/>
            </w:tcMar>
            <w:vAlign w:val="center"/>
            <w:hideMark/>
          </w:tcPr>
          <w:p w:rsidR="00386894" w:rsidRPr="002C59A6" w:rsidRDefault="00386894" w:rsidP="00386894">
            <w:pPr>
              <w:spacing w:after="0" w:line="240" w:lineRule="auto"/>
              <w:jc w:val="both"/>
              <w:rPr>
                <w:rFonts w:eastAsia="Times New Roman" w:cs="Arial"/>
                <w:b/>
                <w:szCs w:val="20"/>
              </w:rPr>
            </w:pPr>
            <w:r w:rsidRPr="002C59A6">
              <w:rPr>
                <w:rFonts w:eastAsia="Times New Roman" w:cs="Arial"/>
                <w:b/>
                <w:kern w:val="24"/>
                <w:szCs w:val="20"/>
              </w:rPr>
              <w:t>Date due</w:t>
            </w:r>
          </w:p>
        </w:tc>
      </w:tr>
      <w:tr w:rsidR="00386894" w:rsidRPr="002C59A6" w:rsidTr="00386894">
        <w:trPr>
          <w:trHeight w:hRule="exact" w:val="340"/>
        </w:trPr>
        <w:tc>
          <w:tcPr>
            <w:tcW w:w="296" w:type="pct"/>
            <w:shd w:val="clear" w:color="auto" w:fill="FFFFFF"/>
            <w:vAlign w:val="center"/>
          </w:tcPr>
          <w:p w:rsidR="00386894" w:rsidRPr="002C59A6" w:rsidRDefault="00386894" w:rsidP="00386894">
            <w:pPr>
              <w:spacing w:after="0" w:line="240" w:lineRule="auto"/>
              <w:jc w:val="center"/>
              <w:rPr>
                <w:rFonts w:eastAsia="Times New Roman" w:cs="Arial"/>
                <w:szCs w:val="20"/>
              </w:rPr>
            </w:pPr>
            <w:r>
              <w:rPr>
                <w:rFonts w:eastAsia="Times New Roman" w:cs="Arial"/>
                <w:szCs w:val="20"/>
              </w:rPr>
              <w:t>1</w:t>
            </w:r>
          </w:p>
        </w:tc>
        <w:tc>
          <w:tcPr>
            <w:tcW w:w="1559" w:type="pct"/>
            <w:shd w:val="clear" w:color="auto" w:fill="FFFFFF"/>
            <w:tcMar>
              <w:top w:w="57" w:type="dxa"/>
              <w:left w:w="57" w:type="dxa"/>
              <w:bottom w:w="57" w:type="dxa"/>
              <w:right w:w="57" w:type="dxa"/>
            </w:tcMar>
            <w:vAlign w:val="center"/>
          </w:tcPr>
          <w:p w:rsidR="00386894" w:rsidRPr="002C59A6" w:rsidRDefault="00386894" w:rsidP="00386894">
            <w:pPr>
              <w:spacing w:after="0" w:line="240" w:lineRule="auto"/>
              <w:rPr>
                <w:rFonts w:eastAsia="Times New Roman" w:cs="Arial"/>
                <w:szCs w:val="20"/>
              </w:rPr>
            </w:pPr>
          </w:p>
        </w:tc>
        <w:tc>
          <w:tcPr>
            <w:tcW w:w="582" w:type="pct"/>
            <w:shd w:val="clear" w:color="auto" w:fill="FFFFFF"/>
            <w:tcMar>
              <w:top w:w="57" w:type="dxa"/>
              <w:left w:w="57" w:type="dxa"/>
              <w:bottom w:w="57" w:type="dxa"/>
              <w:right w:w="57" w:type="dxa"/>
            </w:tcMar>
            <w:vAlign w:val="center"/>
          </w:tcPr>
          <w:p w:rsidR="00386894" w:rsidRPr="002C59A6" w:rsidRDefault="00386894" w:rsidP="00386894">
            <w:pPr>
              <w:spacing w:after="0" w:line="240" w:lineRule="auto"/>
              <w:rPr>
                <w:rFonts w:eastAsia="Times New Roman" w:cs="Arial"/>
                <w:szCs w:val="20"/>
              </w:rPr>
            </w:pPr>
          </w:p>
        </w:tc>
        <w:tc>
          <w:tcPr>
            <w:tcW w:w="955" w:type="pct"/>
            <w:shd w:val="clear" w:color="auto" w:fill="FFFFFF"/>
            <w:tcMar>
              <w:top w:w="57" w:type="dxa"/>
              <w:left w:w="57" w:type="dxa"/>
              <w:bottom w:w="57" w:type="dxa"/>
              <w:right w:w="57" w:type="dxa"/>
            </w:tcMar>
            <w:vAlign w:val="center"/>
          </w:tcPr>
          <w:p w:rsidR="00386894" w:rsidRPr="002C59A6" w:rsidRDefault="00386894" w:rsidP="00386894">
            <w:pPr>
              <w:spacing w:after="0" w:line="240" w:lineRule="auto"/>
              <w:rPr>
                <w:rFonts w:eastAsia="Times New Roman" w:cs="Arial"/>
                <w:szCs w:val="20"/>
              </w:rPr>
            </w:pPr>
          </w:p>
        </w:tc>
        <w:tc>
          <w:tcPr>
            <w:tcW w:w="402" w:type="pct"/>
            <w:shd w:val="clear" w:color="auto" w:fill="FFFFFF"/>
            <w:tcMar>
              <w:top w:w="57" w:type="dxa"/>
              <w:left w:w="57" w:type="dxa"/>
              <w:bottom w:w="57" w:type="dxa"/>
              <w:right w:w="57" w:type="dxa"/>
            </w:tcMar>
            <w:vAlign w:val="center"/>
          </w:tcPr>
          <w:p w:rsidR="00386894" w:rsidRPr="002C59A6" w:rsidRDefault="00386894" w:rsidP="00386894">
            <w:pPr>
              <w:spacing w:after="0" w:line="240" w:lineRule="auto"/>
              <w:rPr>
                <w:rFonts w:eastAsia="Times New Roman" w:cs="Arial"/>
                <w:szCs w:val="20"/>
              </w:rPr>
            </w:pPr>
          </w:p>
        </w:tc>
        <w:tc>
          <w:tcPr>
            <w:tcW w:w="603" w:type="pct"/>
            <w:shd w:val="clear" w:color="auto" w:fill="FFFFFF"/>
            <w:tcMar>
              <w:top w:w="57" w:type="dxa"/>
              <w:left w:w="57" w:type="dxa"/>
              <w:bottom w:w="57" w:type="dxa"/>
              <w:right w:w="57" w:type="dxa"/>
            </w:tcMar>
            <w:vAlign w:val="center"/>
          </w:tcPr>
          <w:p w:rsidR="00386894" w:rsidRPr="002C59A6" w:rsidRDefault="00386894" w:rsidP="00386894">
            <w:pPr>
              <w:spacing w:after="0" w:line="240" w:lineRule="auto"/>
              <w:rPr>
                <w:rFonts w:eastAsia="Times New Roman" w:cs="Arial"/>
                <w:szCs w:val="20"/>
              </w:rPr>
            </w:pPr>
          </w:p>
        </w:tc>
        <w:tc>
          <w:tcPr>
            <w:tcW w:w="603" w:type="pct"/>
            <w:shd w:val="clear" w:color="auto" w:fill="FFFFFF"/>
            <w:tcMar>
              <w:top w:w="57" w:type="dxa"/>
              <w:left w:w="57" w:type="dxa"/>
              <w:bottom w:w="57" w:type="dxa"/>
              <w:right w:w="57" w:type="dxa"/>
            </w:tcMar>
            <w:vAlign w:val="center"/>
          </w:tcPr>
          <w:p w:rsidR="00386894" w:rsidRPr="002C59A6" w:rsidRDefault="00386894" w:rsidP="00386894">
            <w:pPr>
              <w:spacing w:after="0" w:line="240" w:lineRule="auto"/>
              <w:rPr>
                <w:rFonts w:eastAsia="Times New Roman" w:cs="Arial"/>
                <w:szCs w:val="20"/>
              </w:rPr>
            </w:pPr>
          </w:p>
        </w:tc>
      </w:tr>
      <w:tr w:rsidR="00386894" w:rsidRPr="002C59A6" w:rsidTr="00386894">
        <w:trPr>
          <w:trHeight w:hRule="exact" w:val="340"/>
        </w:trPr>
        <w:tc>
          <w:tcPr>
            <w:tcW w:w="296" w:type="pct"/>
            <w:shd w:val="clear" w:color="auto" w:fill="FFFFFF"/>
            <w:vAlign w:val="center"/>
          </w:tcPr>
          <w:p w:rsidR="00386894" w:rsidRPr="002C59A6" w:rsidRDefault="00386894" w:rsidP="00386894">
            <w:pPr>
              <w:spacing w:after="0" w:line="240" w:lineRule="auto"/>
              <w:jc w:val="center"/>
              <w:rPr>
                <w:rFonts w:eastAsia="Times New Roman" w:cs="Arial"/>
                <w:kern w:val="24"/>
                <w:szCs w:val="20"/>
              </w:rPr>
            </w:pPr>
            <w:r>
              <w:rPr>
                <w:rFonts w:eastAsia="Times New Roman" w:cs="Arial"/>
                <w:kern w:val="24"/>
                <w:szCs w:val="20"/>
              </w:rPr>
              <w:t>2</w:t>
            </w:r>
          </w:p>
        </w:tc>
        <w:tc>
          <w:tcPr>
            <w:tcW w:w="1559" w:type="pct"/>
            <w:shd w:val="clear" w:color="auto" w:fill="FFFFFF"/>
            <w:tcMar>
              <w:top w:w="57" w:type="dxa"/>
              <w:left w:w="57" w:type="dxa"/>
              <w:bottom w:w="57" w:type="dxa"/>
              <w:right w:w="57" w:type="dxa"/>
            </w:tcMar>
            <w:vAlign w:val="center"/>
          </w:tcPr>
          <w:p w:rsidR="00386894" w:rsidRPr="002C59A6" w:rsidRDefault="00386894" w:rsidP="00386894">
            <w:pPr>
              <w:spacing w:after="0" w:line="240" w:lineRule="auto"/>
              <w:rPr>
                <w:rFonts w:eastAsia="Times New Roman" w:cs="Arial"/>
                <w:kern w:val="24"/>
                <w:szCs w:val="20"/>
              </w:rPr>
            </w:pPr>
          </w:p>
        </w:tc>
        <w:tc>
          <w:tcPr>
            <w:tcW w:w="582" w:type="pct"/>
            <w:shd w:val="clear" w:color="auto" w:fill="FFFFFF"/>
            <w:tcMar>
              <w:top w:w="57" w:type="dxa"/>
              <w:left w:w="57" w:type="dxa"/>
              <w:bottom w:w="57" w:type="dxa"/>
              <w:right w:w="57" w:type="dxa"/>
            </w:tcMar>
            <w:vAlign w:val="center"/>
          </w:tcPr>
          <w:p w:rsidR="00386894" w:rsidRPr="002C59A6" w:rsidRDefault="00386894" w:rsidP="00386894">
            <w:pPr>
              <w:spacing w:after="0" w:line="240" w:lineRule="auto"/>
              <w:rPr>
                <w:rFonts w:eastAsia="Times New Roman" w:cs="Arial"/>
                <w:kern w:val="24"/>
                <w:szCs w:val="20"/>
              </w:rPr>
            </w:pPr>
          </w:p>
        </w:tc>
        <w:tc>
          <w:tcPr>
            <w:tcW w:w="955" w:type="pct"/>
            <w:shd w:val="clear" w:color="auto" w:fill="FFFFFF"/>
            <w:tcMar>
              <w:top w:w="57" w:type="dxa"/>
              <w:left w:w="57" w:type="dxa"/>
              <w:bottom w:w="57" w:type="dxa"/>
              <w:right w:w="57" w:type="dxa"/>
            </w:tcMar>
            <w:vAlign w:val="center"/>
          </w:tcPr>
          <w:p w:rsidR="00386894" w:rsidRPr="002C59A6" w:rsidRDefault="00386894" w:rsidP="00386894">
            <w:pPr>
              <w:spacing w:after="0" w:line="240" w:lineRule="auto"/>
              <w:rPr>
                <w:rFonts w:eastAsia="Times New Roman" w:cs="Arial"/>
                <w:kern w:val="24"/>
                <w:szCs w:val="20"/>
              </w:rPr>
            </w:pPr>
          </w:p>
        </w:tc>
        <w:tc>
          <w:tcPr>
            <w:tcW w:w="402" w:type="pct"/>
            <w:shd w:val="clear" w:color="auto" w:fill="FFFFFF"/>
            <w:tcMar>
              <w:top w:w="57" w:type="dxa"/>
              <w:left w:w="57" w:type="dxa"/>
              <w:bottom w:w="57" w:type="dxa"/>
              <w:right w:w="57" w:type="dxa"/>
            </w:tcMar>
            <w:vAlign w:val="center"/>
          </w:tcPr>
          <w:p w:rsidR="00386894" w:rsidRPr="002C59A6" w:rsidRDefault="00386894" w:rsidP="00386894">
            <w:pPr>
              <w:spacing w:after="0" w:line="240" w:lineRule="auto"/>
              <w:rPr>
                <w:rFonts w:eastAsia="Times New Roman" w:cs="Arial"/>
                <w:kern w:val="24"/>
                <w:szCs w:val="20"/>
              </w:rPr>
            </w:pPr>
          </w:p>
        </w:tc>
        <w:tc>
          <w:tcPr>
            <w:tcW w:w="603" w:type="pct"/>
            <w:shd w:val="clear" w:color="auto" w:fill="FFFFFF"/>
            <w:tcMar>
              <w:top w:w="57" w:type="dxa"/>
              <w:left w:w="57" w:type="dxa"/>
              <w:bottom w:w="57" w:type="dxa"/>
              <w:right w:w="57" w:type="dxa"/>
            </w:tcMar>
            <w:vAlign w:val="center"/>
          </w:tcPr>
          <w:p w:rsidR="00386894" w:rsidRPr="002C59A6" w:rsidRDefault="00386894" w:rsidP="00386894">
            <w:pPr>
              <w:spacing w:after="0" w:line="240" w:lineRule="auto"/>
              <w:rPr>
                <w:rFonts w:eastAsia="Times New Roman" w:cs="Arial"/>
                <w:kern w:val="24"/>
                <w:szCs w:val="20"/>
              </w:rPr>
            </w:pPr>
          </w:p>
        </w:tc>
        <w:tc>
          <w:tcPr>
            <w:tcW w:w="603" w:type="pct"/>
            <w:shd w:val="clear" w:color="auto" w:fill="FFFFFF"/>
            <w:tcMar>
              <w:top w:w="57" w:type="dxa"/>
              <w:left w:w="57" w:type="dxa"/>
              <w:bottom w:w="57" w:type="dxa"/>
              <w:right w:w="57" w:type="dxa"/>
            </w:tcMar>
            <w:vAlign w:val="center"/>
          </w:tcPr>
          <w:p w:rsidR="00386894" w:rsidRPr="002C59A6" w:rsidRDefault="00386894" w:rsidP="00386894">
            <w:pPr>
              <w:spacing w:after="0" w:line="240" w:lineRule="auto"/>
              <w:rPr>
                <w:rFonts w:eastAsia="Times New Roman" w:cs="Arial"/>
                <w:kern w:val="24"/>
                <w:szCs w:val="20"/>
              </w:rPr>
            </w:pPr>
          </w:p>
        </w:tc>
      </w:tr>
      <w:tr w:rsidR="00D6446A" w:rsidRPr="002C59A6" w:rsidTr="00D6446A">
        <w:trPr>
          <w:trHeight w:hRule="exact" w:val="340"/>
        </w:trPr>
        <w:tc>
          <w:tcPr>
            <w:tcW w:w="296" w:type="pct"/>
            <w:tcBorders>
              <w:bottom w:val="single" w:sz="4" w:space="0" w:color="auto"/>
            </w:tcBorders>
            <w:shd w:val="clear" w:color="auto" w:fill="FFFFFF"/>
            <w:vAlign w:val="center"/>
          </w:tcPr>
          <w:p w:rsidR="00D6446A" w:rsidRPr="002C59A6" w:rsidRDefault="00D6446A" w:rsidP="006D197A">
            <w:pPr>
              <w:spacing w:after="0" w:line="240" w:lineRule="auto"/>
              <w:jc w:val="center"/>
              <w:rPr>
                <w:rFonts w:eastAsia="Times New Roman" w:cs="Arial"/>
                <w:kern w:val="24"/>
                <w:szCs w:val="20"/>
              </w:rPr>
            </w:pPr>
            <w:r>
              <w:rPr>
                <w:rFonts w:eastAsia="Times New Roman" w:cs="Arial"/>
                <w:kern w:val="24"/>
                <w:szCs w:val="20"/>
              </w:rPr>
              <w:t>3</w:t>
            </w:r>
          </w:p>
        </w:tc>
        <w:tc>
          <w:tcPr>
            <w:tcW w:w="1559" w:type="pct"/>
            <w:tcBorders>
              <w:bottom w:val="single" w:sz="4" w:space="0" w:color="auto"/>
            </w:tcBorders>
            <w:shd w:val="clear" w:color="auto" w:fill="FFFFFF"/>
            <w:tcMar>
              <w:top w:w="57" w:type="dxa"/>
              <w:left w:w="57" w:type="dxa"/>
              <w:bottom w:w="57" w:type="dxa"/>
              <w:right w:w="57" w:type="dxa"/>
            </w:tcMar>
            <w:vAlign w:val="center"/>
          </w:tcPr>
          <w:p w:rsidR="00D6446A" w:rsidRPr="002C59A6" w:rsidRDefault="00D6446A" w:rsidP="006D197A">
            <w:pPr>
              <w:spacing w:after="0" w:line="240" w:lineRule="auto"/>
              <w:rPr>
                <w:rFonts w:eastAsia="Times New Roman" w:cs="Arial"/>
                <w:kern w:val="24"/>
                <w:szCs w:val="20"/>
              </w:rPr>
            </w:pPr>
          </w:p>
        </w:tc>
        <w:tc>
          <w:tcPr>
            <w:tcW w:w="582" w:type="pct"/>
            <w:tcBorders>
              <w:bottom w:val="single" w:sz="4" w:space="0" w:color="auto"/>
            </w:tcBorders>
            <w:shd w:val="clear" w:color="auto" w:fill="FFFFFF"/>
            <w:tcMar>
              <w:top w:w="57" w:type="dxa"/>
              <w:left w:w="57" w:type="dxa"/>
              <w:bottom w:w="57" w:type="dxa"/>
              <w:right w:w="57" w:type="dxa"/>
            </w:tcMar>
            <w:vAlign w:val="center"/>
          </w:tcPr>
          <w:p w:rsidR="00D6446A" w:rsidRPr="002C59A6" w:rsidRDefault="00D6446A" w:rsidP="006D197A">
            <w:pPr>
              <w:spacing w:after="0" w:line="240" w:lineRule="auto"/>
              <w:rPr>
                <w:rFonts w:eastAsia="Times New Roman" w:cs="Arial"/>
                <w:kern w:val="24"/>
                <w:szCs w:val="20"/>
              </w:rPr>
            </w:pPr>
          </w:p>
        </w:tc>
        <w:tc>
          <w:tcPr>
            <w:tcW w:w="955" w:type="pct"/>
            <w:tcBorders>
              <w:bottom w:val="single" w:sz="4" w:space="0" w:color="auto"/>
            </w:tcBorders>
            <w:shd w:val="clear" w:color="auto" w:fill="FFFFFF"/>
            <w:tcMar>
              <w:top w:w="57" w:type="dxa"/>
              <w:left w:w="57" w:type="dxa"/>
              <w:bottom w:w="57" w:type="dxa"/>
              <w:right w:w="57" w:type="dxa"/>
            </w:tcMar>
            <w:vAlign w:val="center"/>
          </w:tcPr>
          <w:p w:rsidR="00D6446A" w:rsidRPr="002C59A6" w:rsidRDefault="00D6446A" w:rsidP="006D197A">
            <w:pPr>
              <w:spacing w:after="0" w:line="240" w:lineRule="auto"/>
              <w:rPr>
                <w:rFonts w:eastAsia="Times New Roman" w:cs="Arial"/>
                <w:kern w:val="24"/>
                <w:szCs w:val="20"/>
              </w:rPr>
            </w:pPr>
          </w:p>
        </w:tc>
        <w:tc>
          <w:tcPr>
            <w:tcW w:w="402" w:type="pct"/>
            <w:tcBorders>
              <w:bottom w:val="single" w:sz="4" w:space="0" w:color="auto"/>
            </w:tcBorders>
            <w:shd w:val="clear" w:color="auto" w:fill="FFFFFF"/>
            <w:tcMar>
              <w:top w:w="57" w:type="dxa"/>
              <w:left w:w="57" w:type="dxa"/>
              <w:bottom w:w="57" w:type="dxa"/>
              <w:right w:w="57" w:type="dxa"/>
            </w:tcMar>
            <w:vAlign w:val="center"/>
          </w:tcPr>
          <w:p w:rsidR="00D6446A" w:rsidRPr="002C59A6" w:rsidRDefault="00D6446A" w:rsidP="006D197A">
            <w:pPr>
              <w:spacing w:after="0" w:line="240" w:lineRule="auto"/>
              <w:rPr>
                <w:rFonts w:eastAsia="Times New Roman" w:cs="Arial"/>
                <w:kern w:val="24"/>
                <w:szCs w:val="20"/>
              </w:rPr>
            </w:pPr>
          </w:p>
        </w:tc>
        <w:tc>
          <w:tcPr>
            <w:tcW w:w="603" w:type="pct"/>
            <w:tcBorders>
              <w:bottom w:val="single" w:sz="4" w:space="0" w:color="auto"/>
            </w:tcBorders>
            <w:shd w:val="clear" w:color="auto" w:fill="FFFFFF"/>
            <w:tcMar>
              <w:top w:w="57" w:type="dxa"/>
              <w:left w:w="57" w:type="dxa"/>
              <w:bottom w:w="57" w:type="dxa"/>
              <w:right w:w="57" w:type="dxa"/>
            </w:tcMar>
            <w:vAlign w:val="center"/>
          </w:tcPr>
          <w:p w:rsidR="00D6446A" w:rsidRPr="002C59A6" w:rsidRDefault="00D6446A" w:rsidP="006D197A">
            <w:pPr>
              <w:spacing w:after="0" w:line="240" w:lineRule="auto"/>
              <w:rPr>
                <w:rFonts w:eastAsia="Times New Roman" w:cs="Arial"/>
                <w:kern w:val="24"/>
                <w:szCs w:val="20"/>
              </w:rPr>
            </w:pPr>
          </w:p>
        </w:tc>
        <w:tc>
          <w:tcPr>
            <w:tcW w:w="603" w:type="pct"/>
            <w:tcBorders>
              <w:bottom w:val="single" w:sz="4" w:space="0" w:color="auto"/>
            </w:tcBorders>
            <w:shd w:val="clear" w:color="auto" w:fill="FFFFFF"/>
            <w:tcMar>
              <w:top w:w="57" w:type="dxa"/>
              <w:left w:w="57" w:type="dxa"/>
              <w:bottom w:w="57" w:type="dxa"/>
              <w:right w:w="57" w:type="dxa"/>
            </w:tcMar>
            <w:vAlign w:val="center"/>
          </w:tcPr>
          <w:p w:rsidR="00D6446A" w:rsidRPr="002C59A6" w:rsidRDefault="00D6446A" w:rsidP="006D197A">
            <w:pPr>
              <w:spacing w:after="0" w:line="240" w:lineRule="auto"/>
              <w:rPr>
                <w:rFonts w:eastAsia="Times New Roman" w:cs="Arial"/>
                <w:kern w:val="24"/>
                <w:szCs w:val="20"/>
              </w:rPr>
            </w:pPr>
          </w:p>
        </w:tc>
      </w:tr>
      <w:tr w:rsidR="007A5F77" w:rsidRPr="002C59A6" w:rsidTr="00D6446A">
        <w:trPr>
          <w:trHeight w:hRule="exact" w:val="57"/>
        </w:trPr>
        <w:tc>
          <w:tcPr>
            <w:tcW w:w="296" w:type="pct"/>
            <w:tcBorders>
              <w:bottom w:val="nil"/>
            </w:tcBorders>
            <w:shd w:val="clear" w:color="auto" w:fill="FFFFFF"/>
            <w:vAlign w:val="center"/>
          </w:tcPr>
          <w:p w:rsidR="007A5F77" w:rsidRPr="002C59A6" w:rsidRDefault="007A5F77" w:rsidP="006D197A">
            <w:pPr>
              <w:spacing w:after="0" w:line="240" w:lineRule="auto"/>
              <w:jc w:val="center"/>
              <w:rPr>
                <w:rFonts w:eastAsia="Times New Roman" w:cs="Arial"/>
                <w:kern w:val="24"/>
                <w:szCs w:val="20"/>
              </w:rPr>
            </w:pPr>
          </w:p>
        </w:tc>
        <w:tc>
          <w:tcPr>
            <w:tcW w:w="1559" w:type="pct"/>
            <w:tcBorders>
              <w:bottom w:val="nil"/>
            </w:tcBorders>
            <w:shd w:val="clear" w:color="auto" w:fill="FFFFFF"/>
            <w:tcMar>
              <w:top w:w="57" w:type="dxa"/>
              <w:left w:w="57" w:type="dxa"/>
              <w:bottom w:w="57" w:type="dxa"/>
              <w:right w:w="57" w:type="dxa"/>
            </w:tcMar>
            <w:vAlign w:val="center"/>
          </w:tcPr>
          <w:p w:rsidR="007A5F77" w:rsidRPr="002C59A6" w:rsidRDefault="007A5F77" w:rsidP="006D197A">
            <w:pPr>
              <w:spacing w:after="0" w:line="240" w:lineRule="auto"/>
              <w:rPr>
                <w:rFonts w:eastAsia="Times New Roman" w:cs="Arial"/>
                <w:kern w:val="24"/>
                <w:szCs w:val="20"/>
              </w:rPr>
            </w:pPr>
          </w:p>
        </w:tc>
        <w:tc>
          <w:tcPr>
            <w:tcW w:w="582" w:type="pct"/>
            <w:tcBorders>
              <w:bottom w:val="nil"/>
            </w:tcBorders>
            <w:shd w:val="clear" w:color="auto" w:fill="FFFFFF"/>
            <w:tcMar>
              <w:top w:w="57" w:type="dxa"/>
              <w:left w:w="57" w:type="dxa"/>
              <w:bottom w:w="57" w:type="dxa"/>
              <w:right w:w="57" w:type="dxa"/>
            </w:tcMar>
            <w:vAlign w:val="center"/>
          </w:tcPr>
          <w:p w:rsidR="007A5F77" w:rsidRPr="002C59A6" w:rsidRDefault="007A5F77" w:rsidP="006D197A">
            <w:pPr>
              <w:spacing w:after="0" w:line="240" w:lineRule="auto"/>
              <w:rPr>
                <w:rFonts w:eastAsia="Times New Roman" w:cs="Arial"/>
                <w:kern w:val="24"/>
                <w:szCs w:val="20"/>
              </w:rPr>
            </w:pPr>
          </w:p>
        </w:tc>
        <w:tc>
          <w:tcPr>
            <w:tcW w:w="955" w:type="pct"/>
            <w:tcBorders>
              <w:bottom w:val="nil"/>
            </w:tcBorders>
            <w:shd w:val="clear" w:color="auto" w:fill="FFFFFF"/>
            <w:tcMar>
              <w:top w:w="57" w:type="dxa"/>
              <w:left w:w="57" w:type="dxa"/>
              <w:bottom w:w="57" w:type="dxa"/>
              <w:right w:w="57" w:type="dxa"/>
            </w:tcMar>
            <w:vAlign w:val="center"/>
          </w:tcPr>
          <w:p w:rsidR="007A5F77" w:rsidRPr="002C59A6" w:rsidRDefault="007A5F77" w:rsidP="006D197A">
            <w:pPr>
              <w:spacing w:after="0" w:line="240" w:lineRule="auto"/>
              <w:rPr>
                <w:rFonts w:eastAsia="Times New Roman" w:cs="Arial"/>
                <w:kern w:val="24"/>
                <w:szCs w:val="20"/>
              </w:rPr>
            </w:pPr>
          </w:p>
        </w:tc>
        <w:tc>
          <w:tcPr>
            <w:tcW w:w="402" w:type="pct"/>
            <w:tcBorders>
              <w:bottom w:val="nil"/>
            </w:tcBorders>
            <w:shd w:val="clear" w:color="auto" w:fill="FFFFFF"/>
            <w:tcMar>
              <w:top w:w="57" w:type="dxa"/>
              <w:left w:w="57" w:type="dxa"/>
              <w:bottom w:w="57" w:type="dxa"/>
              <w:right w:w="57" w:type="dxa"/>
            </w:tcMar>
            <w:vAlign w:val="center"/>
          </w:tcPr>
          <w:p w:rsidR="007A5F77" w:rsidRPr="002C59A6" w:rsidRDefault="007A5F77" w:rsidP="006D197A">
            <w:pPr>
              <w:spacing w:after="0" w:line="240" w:lineRule="auto"/>
              <w:rPr>
                <w:rFonts w:eastAsia="Times New Roman" w:cs="Arial"/>
                <w:kern w:val="24"/>
                <w:szCs w:val="20"/>
              </w:rPr>
            </w:pPr>
          </w:p>
        </w:tc>
        <w:tc>
          <w:tcPr>
            <w:tcW w:w="603" w:type="pct"/>
            <w:tcBorders>
              <w:bottom w:val="nil"/>
            </w:tcBorders>
            <w:shd w:val="clear" w:color="auto" w:fill="FFFFFF"/>
            <w:tcMar>
              <w:top w:w="57" w:type="dxa"/>
              <w:left w:w="57" w:type="dxa"/>
              <w:bottom w:w="57" w:type="dxa"/>
              <w:right w:w="57" w:type="dxa"/>
            </w:tcMar>
            <w:vAlign w:val="center"/>
          </w:tcPr>
          <w:p w:rsidR="007A5F77" w:rsidRPr="002C59A6" w:rsidRDefault="007A5F77" w:rsidP="006D197A">
            <w:pPr>
              <w:spacing w:after="0" w:line="240" w:lineRule="auto"/>
              <w:rPr>
                <w:rFonts w:eastAsia="Times New Roman" w:cs="Arial"/>
                <w:kern w:val="24"/>
                <w:szCs w:val="20"/>
              </w:rPr>
            </w:pPr>
          </w:p>
        </w:tc>
        <w:tc>
          <w:tcPr>
            <w:tcW w:w="603" w:type="pct"/>
            <w:tcBorders>
              <w:bottom w:val="nil"/>
            </w:tcBorders>
            <w:shd w:val="clear" w:color="auto" w:fill="FFFFFF"/>
            <w:tcMar>
              <w:top w:w="57" w:type="dxa"/>
              <w:left w:w="57" w:type="dxa"/>
              <w:bottom w:w="57" w:type="dxa"/>
              <w:right w:w="57" w:type="dxa"/>
            </w:tcMar>
            <w:vAlign w:val="center"/>
          </w:tcPr>
          <w:p w:rsidR="007A5F77" w:rsidRPr="002C59A6" w:rsidRDefault="007A5F77" w:rsidP="006D197A">
            <w:pPr>
              <w:spacing w:after="0" w:line="240" w:lineRule="auto"/>
              <w:rPr>
                <w:rFonts w:eastAsia="Times New Roman" w:cs="Arial"/>
                <w:kern w:val="24"/>
                <w:szCs w:val="20"/>
              </w:rPr>
            </w:pPr>
          </w:p>
        </w:tc>
      </w:tr>
      <w:tr w:rsidR="00386894" w:rsidRPr="002C59A6" w:rsidTr="00D6446A">
        <w:trPr>
          <w:trHeight w:hRule="exact" w:val="170"/>
        </w:trPr>
        <w:tc>
          <w:tcPr>
            <w:tcW w:w="296" w:type="pct"/>
            <w:tcBorders>
              <w:top w:val="nil"/>
              <w:left w:val="nil"/>
              <w:bottom w:val="single" w:sz="4" w:space="0" w:color="auto"/>
              <w:right w:val="nil"/>
            </w:tcBorders>
            <w:shd w:val="clear" w:color="auto" w:fill="FFFFFF"/>
            <w:vAlign w:val="center"/>
          </w:tcPr>
          <w:p w:rsidR="00386894" w:rsidRPr="002C59A6" w:rsidRDefault="00386894" w:rsidP="00386894">
            <w:pPr>
              <w:spacing w:after="0" w:line="240" w:lineRule="auto"/>
              <w:jc w:val="center"/>
              <w:rPr>
                <w:rFonts w:eastAsia="Times New Roman" w:cs="Arial"/>
                <w:kern w:val="24"/>
                <w:szCs w:val="20"/>
              </w:rPr>
            </w:pPr>
          </w:p>
        </w:tc>
        <w:tc>
          <w:tcPr>
            <w:tcW w:w="1559" w:type="pct"/>
            <w:tcBorders>
              <w:top w:val="nil"/>
              <w:left w:val="nil"/>
              <w:bottom w:val="single" w:sz="4" w:space="0" w:color="auto"/>
              <w:right w:val="nil"/>
            </w:tcBorders>
            <w:shd w:val="clear" w:color="auto" w:fill="FFFFFF"/>
            <w:tcMar>
              <w:top w:w="57" w:type="dxa"/>
              <w:left w:w="57" w:type="dxa"/>
              <w:bottom w:w="57" w:type="dxa"/>
              <w:right w:w="57" w:type="dxa"/>
            </w:tcMar>
            <w:vAlign w:val="center"/>
          </w:tcPr>
          <w:p w:rsidR="00386894" w:rsidRPr="002C59A6" w:rsidRDefault="00386894" w:rsidP="00386894">
            <w:pPr>
              <w:spacing w:after="0" w:line="240" w:lineRule="auto"/>
              <w:rPr>
                <w:rFonts w:eastAsia="Times New Roman" w:cs="Arial"/>
                <w:kern w:val="24"/>
                <w:szCs w:val="20"/>
              </w:rPr>
            </w:pPr>
          </w:p>
        </w:tc>
        <w:tc>
          <w:tcPr>
            <w:tcW w:w="582" w:type="pct"/>
            <w:tcBorders>
              <w:top w:val="nil"/>
              <w:left w:val="nil"/>
              <w:bottom w:val="single" w:sz="4" w:space="0" w:color="auto"/>
              <w:right w:val="nil"/>
            </w:tcBorders>
            <w:shd w:val="clear" w:color="auto" w:fill="FFFFFF"/>
            <w:tcMar>
              <w:top w:w="57" w:type="dxa"/>
              <w:left w:w="57" w:type="dxa"/>
              <w:bottom w:w="57" w:type="dxa"/>
              <w:right w:w="57" w:type="dxa"/>
            </w:tcMar>
            <w:vAlign w:val="center"/>
          </w:tcPr>
          <w:p w:rsidR="00386894" w:rsidRPr="002C59A6" w:rsidRDefault="00386894" w:rsidP="00386894">
            <w:pPr>
              <w:spacing w:after="0" w:line="240" w:lineRule="auto"/>
              <w:rPr>
                <w:rFonts w:eastAsia="Times New Roman" w:cs="Arial"/>
                <w:kern w:val="24"/>
                <w:szCs w:val="20"/>
              </w:rPr>
            </w:pPr>
          </w:p>
        </w:tc>
        <w:tc>
          <w:tcPr>
            <w:tcW w:w="955" w:type="pct"/>
            <w:tcBorders>
              <w:top w:val="nil"/>
              <w:left w:val="nil"/>
              <w:bottom w:val="nil"/>
              <w:right w:val="nil"/>
            </w:tcBorders>
            <w:shd w:val="clear" w:color="auto" w:fill="FFFFFF"/>
            <w:tcMar>
              <w:top w:w="57" w:type="dxa"/>
              <w:left w:w="57" w:type="dxa"/>
              <w:bottom w:w="57" w:type="dxa"/>
              <w:right w:w="57" w:type="dxa"/>
            </w:tcMar>
            <w:vAlign w:val="center"/>
          </w:tcPr>
          <w:p w:rsidR="00386894" w:rsidRPr="002C59A6" w:rsidRDefault="00386894" w:rsidP="00386894">
            <w:pPr>
              <w:spacing w:after="0" w:line="240" w:lineRule="auto"/>
              <w:rPr>
                <w:rFonts w:eastAsia="Times New Roman" w:cs="Arial"/>
                <w:kern w:val="24"/>
                <w:szCs w:val="20"/>
              </w:rPr>
            </w:pPr>
          </w:p>
        </w:tc>
        <w:tc>
          <w:tcPr>
            <w:tcW w:w="402" w:type="pct"/>
            <w:tcBorders>
              <w:top w:val="nil"/>
              <w:left w:val="nil"/>
              <w:bottom w:val="nil"/>
              <w:right w:val="nil"/>
            </w:tcBorders>
            <w:shd w:val="clear" w:color="auto" w:fill="FFFFFF"/>
            <w:tcMar>
              <w:top w:w="57" w:type="dxa"/>
              <w:left w:w="57" w:type="dxa"/>
              <w:bottom w:w="57" w:type="dxa"/>
              <w:right w:w="57" w:type="dxa"/>
            </w:tcMar>
            <w:vAlign w:val="center"/>
          </w:tcPr>
          <w:p w:rsidR="00386894" w:rsidRPr="002C59A6" w:rsidRDefault="00386894" w:rsidP="00386894">
            <w:pPr>
              <w:spacing w:after="0" w:line="240" w:lineRule="auto"/>
              <w:rPr>
                <w:rFonts w:eastAsia="Times New Roman" w:cs="Arial"/>
                <w:kern w:val="24"/>
                <w:szCs w:val="20"/>
              </w:rPr>
            </w:pPr>
          </w:p>
        </w:tc>
        <w:tc>
          <w:tcPr>
            <w:tcW w:w="603" w:type="pct"/>
            <w:tcBorders>
              <w:top w:val="nil"/>
              <w:left w:val="nil"/>
              <w:bottom w:val="nil"/>
              <w:right w:val="nil"/>
            </w:tcBorders>
            <w:shd w:val="clear" w:color="auto" w:fill="FFFFFF"/>
            <w:tcMar>
              <w:top w:w="57" w:type="dxa"/>
              <w:left w:w="57" w:type="dxa"/>
              <w:bottom w:w="57" w:type="dxa"/>
              <w:right w:w="57" w:type="dxa"/>
            </w:tcMar>
            <w:vAlign w:val="center"/>
          </w:tcPr>
          <w:p w:rsidR="00386894" w:rsidRPr="002C59A6" w:rsidRDefault="00386894" w:rsidP="00386894">
            <w:pPr>
              <w:spacing w:after="0" w:line="240" w:lineRule="auto"/>
              <w:rPr>
                <w:rFonts w:eastAsia="Times New Roman" w:cs="Arial"/>
                <w:kern w:val="24"/>
                <w:szCs w:val="20"/>
              </w:rPr>
            </w:pPr>
          </w:p>
        </w:tc>
        <w:tc>
          <w:tcPr>
            <w:tcW w:w="603" w:type="pct"/>
            <w:tcBorders>
              <w:top w:val="nil"/>
              <w:left w:val="nil"/>
              <w:bottom w:val="nil"/>
              <w:right w:val="nil"/>
            </w:tcBorders>
            <w:shd w:val="clear" w:color="auto" w:fill="FFFFFF"/>
            <w:tcMar>
              <w:top w:w="57" w:type="dxa"/>
              <w:left w:w="57" w:type="dxa"/>
              <w:bottom w:w="57" w:type="dxa"/>
              <w:right w:w="57" w:type="dxa"/>
            </w:tcMar>
            <w:vAlign w:val="center"/>
          </w:tcPr>
          <w:p w:rsidR="00386894" w:rsidRPr="002C59A6" w:rsidRDefault="00386894" w:rsidP="00386894">
            <w:pPr>
              <w:spacing w:after="0" w:line="240" w:lineRule="auto"/>
              <w:rPr>
                <w:rFonts w:eastAsia="Times New Roman" w:cs="Arial"/>
                <w:kern w:val="24"/>
                <w:szCs w:val="20"/>
              </w:rPr>
            </w:pPr>
          </w:p>
        </w:tc>
      </w:tr>
      <w:tr w:rsidR="00386894" w:rsidRPr="002C59A6" w:rsidTr="00386894">
        <w:trPr>
          <w:trHeight w:hRule="exact" w:val="340"/>
        </w:trPr>
        <w:tc>
          <w:tcPr>
            <w:tcW w:w="296" w:type="pct"/>
            <w:tcBorders>
              <w:top w:val="single" w:sz="4" w:space="0" w:color="auto"/>
            </w:tcBorders>
            <w:shd w:val="clear" w:color="auto" w:fill="FFFFFF"/>
            <w:vAlign w:val="center"/>
          </w:tcPr>
          <w:p w:rsidR="00386894" w:rsidRPr="002C59A6" w:rsidRDefault="00386894" w:rsidP="00386894">
            <w:pPr>
              <w:spacing w:after="0" w:line="240" w:lineRule="auto"/>
              <w:jc w:val="center"/>
              <w:rPr>
                <w:rFonts w:eastAsia="Times New Roman" w:cs="Arial"/>
                <w:kern w:val="24"/>
                <w:szCs w:val="20"/>
              </w:rPr>
            </w:pPr>
          </w:p>
        </w:tc>
        <w:tc>
          <w:tcPr>
            <w:tcW w:w="1559" w:type="pct"/>
            <w:tcBorders>
              <w:top w:val="single" w:sz="4" w:space="0" w:color="auto"/>
            </w:tcBorders>
            <w:shd w:val="clear" w:color="auto" w:fill="FFFFFF"/>
            <w:tcMar>
              <w:top w:w="57" w:type="dxa"/>
              <w:left w:w="57" w:type="dxa"/>
              <w:bottom w:w="57" w:type="dxa"/>
              <w:right w:w="57" w:type="dxa"/>
            </w:tcMar>
            <w:vAlign w:val="center"/>
          </w:tcPr>
          <w:p w:rsidR="00386894" w:rsidRPr="002C59A6" w:rsidRDefault="00386894" w:rsidP="00386894">
            <w:pPr>
              <w:spacing w:after="0" w:line="240" w:lineRule="auto"/>
              <w:rPr>
                <w:rFonts w:eastAsia="Times New Roman" w:cs="Arial"/>
                <w:kern w:val="24"/>
                <w:szCs w:val="20"/>
              </w:rPr>
            </w:pPr>
            <w:r w:rsidRPr="00951D74">
              <w:rPr>
                <w:rFonts w:eastAsia="Times New Roman" w:cs="Arial"/>
                <w:kern w:val="24"/>
                <w:szCs w:val="20"/>
              </w:rPr>
              <w:t>Examination</w:t>
            </w:r>
          </w:p>
        </w:tc>
        <w:tc>
          <w:tcPr>
            <w:tcW w:w="582" w:type="pct"/>
            <w:tcBorders>
              <w:top w:val="single" w:sz="4" w:space="0" w:color="auto"/>
              <w:right w:val="single" w:sz="4" w:space="0" w:color="auto"/>
            </w:tcBorders>
            <w:shd w:val="clear" w:color="auto" w:fill="FFFFFF"/>
            <w:tcMar>
              <w:top w:w="57" w:type="dxa"/>
              <w:left w:w="57" w:type="dxa"/>
              <w:bottom w:w="57" w:type="dxa"/>
              <w:right w:w="57" w:type="dxa"/>
            </w:tcMar>
            <w:vAlign w:val="center"/>
          </w:tcPr>
          <w:p w:rsidR="00386894" w:rsidRPr="002C59A6" w:rsidRDefault="00386894" w:rsidP="00386894">
            <w:pPr>
              <w:spacing w:after="0" w:line="240" w:lineRule="auto"/>
              <w:rPr>
                <w:rFonts w:eastAsia="Times New Roman" w:cs="Arial"/>
                <w:kern w:val="24"/>
                <w:szCs w:val="20"/>
              </w:rPr>
            </w:pPr>
          </w:p>
        </w:tc>
        <w:tc>
          <w:tcPr>
            <w:tcW w:w="955" w:type="pct"/>
            <w:tcBorders>
              <w:top w:val="nil"/>
              <w:left w:val="single" w:sz="4" w:space="0" w:color="auto"/>
              <w:bottom w:val="nil"/>
              <w:right w:val="nil"/>
            </w:tcBorders>
            <w:shd w:val="clear" w:color="auto" w:fill="FFFFFF"/>
            <w:tcMar>
              <w:top w:w="57" w:type="dxa"/>
              <w:left w:w="57" w:type="dxa"/>
              <w:bottom w:w="57" w:type="dxa"/>
              <w:right w:w="57" w:type="dxa"/>
            </w:tcMar>
            <w:vAlign w:val="center"/>
          </w:tcPr>
          <w:p w:rsidR="00386894" w:rsidRPr="002C59A6" w:rsidRDefault="00386894" w:rsidP="00386894">
            <w:pPr>
              <w:spacing w:after="0" w:line="240" w:lineRule="auto"/>
              <w:rPr>
                <w:rFonts w:eastAsia="Times New Roman" w:cs="Arial"/>
                <w:kern w:val="24"/>
                <w:szCs w:val="20"/>
              </w:rPr>
            </w:pPr>
          </w:p>
        </w:tc>
        <w:tc>
          <w:tcPr>
            <w:tcW w:w="402" w:type="pct"/>
            <w:tcBorders>
              <w:top w:val="nil"/>
              <w:left w:val="nil"/>
              <w:bottom w:val="nil"/>
              <w:right w:val="nil"/>
            </w:tcBorders>
            <w:shd w:val="clear" w:color="auto" w:fill="FFFFFF"/>
            <w:tcMar>
              <w:top w:w="57" w:type="dxa"/>
              <w:left w:w="57" w:type="dxa"/>
              <w:bottom w:w="57" w:type="dxa"/>
              <w:right w:w="57" w:type="dxa"/>
            </w:tcMar>
            <w:vAlign w:val="center"/>
          </w:tcPr>
          <w:p w:rsidR="00386894" w:rsidRPr="002C59A6" w:rsidRDefault="00386894" w:rsidP="00386894">
            <w:pPr>
              <w:spacing w:after="0" w:line="240" w:lineRule="auto"/>
              <w:rPr>
                <w:rFonts w:eastAsia="Times New Roman" w:cs="Arial"/>
                <w:kern w:val="24"/>
                <w:szCs w:val="20"/>
              </w:rPr>
            </w:pPr>
          </w:p>
        </w:tc>
        <w:tc>
          <w:tcPr>
            <w:tcW w:w="603" w:type="pct"/>
            <w:tcBorders>
              <w:top w:val="nil"/>
              <w:left w:val="nil"/>
              <w:bottom w:val="nil"/>
              <w:right w:val="nil"/>
            </w:tcBorders>
            <w:shd w:val="clear" w:color="auto" w:fill="FFFFFF"/>
            <w:tcMar>
              <w:top w:w="57" w:type="dxa"/>
              <w:left w:w="57" w:type="dxa"/>
              <w:bottom w:w="57" w:type="dxa"/>
              <w:right w:w="57" w:type="dxa"/>
            </w:tcMar>
            <w:vAlign w:val="center"/>
          </w:tcPr>
          <w:p w:rsidR="00386894" w:rsidRPr="002C59A6" w:rsidRDefault="00386894" w:rsidP="00386894">
            <w:pPr>
              <w:spacing w:after="0" w:line="240" w:lineRule="auto"/>
              <w:rPr>
                <w:rFonts w:eastAsia="Times New Roman" w:cs="Arial"/>
                <w:kern w:val="24"/>
                <w:szCs w:val="20"/>
              </w:rPr>
            </w:pPr>
          </w:p>
        </w:tc>
        <w:tc>
          <w:tcPr>
            <w:tcW w:w="603" w:type="pct"/>
            <w:tcBorders>
              <w:top w:val="nil"/>
              <w:left w:val="nil"/>
              <w:bottom w:val="nil"/>
              <w:right w:val="nil"/>
            </w:tcBorders>
            <w:shd w:val="clear" w:color="auto" w:fill="FFFFFF"/>
            <w:tcMar>
              <w:top w:w="57" w:type="dxa"/>
              <w:left w:w="57" w:type="dxa"/>
              <w:bottom w:w="57" w:type="dxa"/>
              <w:right w:w="57" w:type="dxa"/>
            </w:tcMar>
            <w:vAlign w:val="center"/>
          </w:tcPr>
          <w:p w:rsidR="00386894" w:rsidRPr="002C59A6" w:rsidRDefault="00386894" w:rsidP="00386894">
            <w:pPr>
              <w:spacing w:after="0" w:line="240" w:lineRule="auto"/>
              <w:rPr>
                <w:rFonts w:eastAsia="Times New Roman" w:cs="Arial"/>
                <w:kern w:val="24"/>
                <w:szCs w:val="20"/>
              </w:rPr>
            </w:pPr>
          </w:p>
        </w:tc>
      </w:tr>
    </w:tbl>
    <w:p w:rsidR="00386894" w:rsidRDefault="00386894">
      <w:r>
        <w:lastRenderedPageBreak/>
        <w:t xml:space="preserve">On a daily basis, data from these sheets would be transferred from the </w:t>
      </w:r>
      <w:proofErr w:type="spellStart"/>
      <w:r>
        <w:t>Googlesheet</w:t>
      </w:r>
      <w:proofErr w:type="spellEnd"/>
      <w:r>
        <w:t xml:space="preserve"> to a read-only webpage, the URL for which would be included within the Module Guide</w:t>
      </w:r>
      <w:r w:rsidR="007A5F77">
        <w:t xml:space="preserve"> by the Module Leader</w:t>
      </w:r>
      <w:r>
        <w:t>.</w:t>
      </w:r>
    </w:p>
    <w:p w:rsidR="007A5F77" w:rsidRDefault="007A5F77">
      <w:r>
        <w:t xml:space="preserve">Data would also be automatically collected from the </w:t>
      </w:r>
      <w:proofErr w:type="spellStart"/>
      <w:r>
        <w:t>Googlesheets</w:t>
      </w:r>
      <w:proofErr w:type="spellEnd"/>
      <w:r>
        <w:t xml:space="preserve"> and presented on online (pdf) assessment schedules for individual Science students using module enrolments stored in web hub.  Science students would be emailed with a link to their schedule when it was complete (= all modules</w:t>
      </w:r>
      <w:r w:rsidR="002D0DC0">
        <w:t xml:space="preserve"> have confirmed data</w:t>
      </w:r>
      <w:r>
        <w:t>) and notified by email when any changes had been made to their schedule.</w:t>
      </w:r>
    </w:p>
    <w:p w:rsidR="007A5F77" w:rsidRDefault="007A5F77">
      <w:r>
        <w:t xml:space="preserve">The cultural change associated with the above is significant and we would apply for an in-year Intern student to liaise with individual academic staff to assist in familiarising </w:t>
      </w:r>
      <w:r w:rsidR="002D0DC0">
        <w:t>them with the new data recording procedures</w:t>
      </w:r>
      <w:proofErr w:type="gramStart"/>
      <w:r w:rsidR="002D0DC0">
        <w:t xml:space="preserve">. </w:t>
      </w:r>
      <w:proofErr w:type="gramEnd"/>
      <w:r w:rsidR="002D0DC0">
        <w:t>Module where data is not confirmed will be readily identifiable.</w:t>
      </w:r>
    </w:p>
    <w:p w:rsidR="00B023EE" w:rsidRDefault="00B023EE" w:rsidP="00B023EE">
      <w:pPr>
        <w:jc w:val="right"/>
      </w:pPr>
      <w:r>
        <w:t>Phil Denton, ADE</w:t>
      </w:r>
    </w:p>
    <w:p w:rsidR="00B023EE" w:rsidRDefault="00B023EE" w:rsidP="00B023EE">
      <w:pPr>
        <w:jc w:val="right"/>
      </w:pPr>
      <w:r>
        <w:t xml:space="preserve">Approved in </w:t>
      </w:r>
      <w:r w:rsidR="00D206D8">
        <w:t>principle</w:t>
      </w:r>
      <w:bookmarkStart w:id="0" w:name="_GoBack"/>
      <w:bookmarkEnd w:id="0"/>
      <w:r>
        <w:t xml:space="preserve"> by </w:t>
      </w:r>
      <w:proofErr w:type="spellStart"/>
      <w:r>
        <w:t>FEC</w:t>
      </w:r>
      <w:proofErr w:type="spellEnd"/>
      <w:r>
        <w:t xml:space="preserve"> for advancement to </w:t>
      </w:r>
      <w:proofErr w:type="spellStart"/>
      <w:r>
        <w:t>FMT</w:t>
      </w:r>
      <w:proofErr w:type="spellEnd"/>
      <w:r>
        <w:t xml:space="preserve">  11/5/16</w:t>
      </w:r>
    </w:p>
    <w:p w:rsidR="00505190" w:rsidRDefault="00505190" w:rsidP="007A5F77">
      <w:pPr>
        <w:jc w:val="both"/>
      </w:pPr>
      <w:r>
        <w:br w:type="page"/>
      </w:r>
    </w:p>
    <w:p w:rsidR="00505190" w:rsidRDefault="00505190" w:rsidP="00505190">
      <w:pPr>
        <w:rPr>
          <w:b/>
        </w:rPr>
      </w:pPr>
      <w:r>
        <w:rPr>
          <w:b/>
        </w:rPr>
        <w:lastRenderedPageBreak/>
        <w:t>Appendix 1</w:t>
      </w:r>
    </w:p>
    <w:p w:rsidR="00505190" w:rsidRPr="00505190" w:rsidRDefault="00505190" w:rsidP="00505190">
      <w:pPr>
        <w:jc w:val="center"/>
        <w:rPr>
          <w:b/>
        </w:rPr>
      </w:pPr>
      <w:r w:rsidRPr="00505190">
        <w:rPr>
          <w:b/>
          <w:noProof/>
        </w:rPr>
        <w:drawing>
          <wp:inline distT="0" distB="0" distL="0" distR="0" wp14:anchorId="620BE91E" wp14:editId="7DFB07D0">
            <wp:extent cx="5263200" cy="394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63200" cy="3945600"/>
                    </a:xfrm>
                    <a:prstGeom prst="rect">
                      <a:avLst/>
                    </a:prstGeom>
                  </pic:spPr>
                </pic:pic>
              </a:graphicData>
            </a:graphic>
          </wp:inline>
        </w:drawing>
      </w:r>
    </w:p>
    <w:p w:rsidR="00505190" w:rsidRDefault="00505190" w:rsidP="00505190">
      <w:pPr>
        <w:jc w:val="center"/>
      </w:pPr>
      <w:r w:rsidRPr="00505190">
        <w:rPr>
          <w:noProof/>
        </w:rPr>
        <w:drawing>
          <wp:inline distT="0" distB="0" distL="0" distR="0" wp14:anchorId="114972B6" wp14:editId="49C27533">
            <wp:extent cx="5256000" cy="3942000"/>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56000" cy="3942000"/>
                    </a:xfrm>
                    <a:prstGeom prst="rect">
                      <a:avLst/>
                    </a:prstGeom>
                  </pic:spPr>
                </pic:pic>
              </a:graphicData>
            </a:graphic>
          </wp:inline>
        </w:drawing>
      </w:r>
    </w:p>
    <w:p w:rsidR="00505190" w:rsidRDefault="00505190">
      <w:r>
        <w:br w:type="page"/>
      </w:r>
    </w:p>
    <w:p w:rsidR="00D56CC4" w:rsidRDefault="00505190" w:rsidP="00505190">
      <w:pPr>
        <w:jc w:val="center"/>
      </w:pPr>
      <w:r w:rsidRPr="00505190">
        <w:rPr>
          <w:noProof/>
        </w:rPr>
        <w:lastRenderedPageBreak/>
        <w:drawing>
          <wp:inline distT="0" distB="0" distL="0" distR="0" wp14:anchorId="5977E99D" wp14:editId="684A209F">
            <wp:extent cx="5256000" cy="3942000"/>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56000" cy="3942000"/>
                    </a:xfrm>
                    <a:prstGeom prst="rect">
                      <a:avLst/>
                    </a:prstGeom>
                  </pic:spPr>
                </pic:pic>
              </a:graphicData>
            </a:graphic>
          </wp:inline>
        </w:drawing>
      </w:r>
    </w:p>
    <w:p w:rsidR="00505190" w:rsidRPr="00237FE8" w:rsidRDefault="00505190" w:rsidP="00505190">
      <w:pPr>
        <w:jc w:val="center"/>
      </w:pPr>
      <w:r w:rsidRPr="00505190">
        <w:rPr>
          <w:noProof/>
        </w:rPr>
        <w:drawing>
          <wp:inline distT="0" distB="0" distL="0" distR="0" wp14:anchorId="1B30A8FA" wp14:editId="34CF4A46">
            <wp:extent cx="5256000" cy="3942000"/>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56000" cy="3942000"/>
                    </a:xfrm>
                    <a:prstGeom prst="rect">
                      <a:avLst/>
                    </a:prstGeom>
                  </pic:spPr>
                </pic:pic>
              </a:graphicData>
            </a:graphic>
          </wp:inline>
        </w:drawing>
      </w:r>
    </w:p>
    <w:sectPr w:rsidR="00505190" w:rsidRPr="00237FE8" w:rsidSect="00D56CC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189" w:rsidRDefault="00DF2189" w:rsidP="00DF2189">
      <w:pPr>
        <w:spacing w:after="0" w:line="240" w:lineRule="auto"/>
      </w:pPr>
      <w:r>
        <w:separator/>
      </w:r>
    </w:p>
  </w:endnote>
  <w:endnote w:type="continuationSeparator" w:id="0">
    <w:p w:rsidR="00DF2189" w:rsidRDefault="00DF2189" w:rsidP="00DF2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189" w:rsidRDefault="00DF2189" w:rsidP="00DF2189">
      <w:pPr>
        <w:spacing w:after="0" w:line="240" w:lineRule="auto"/>
      </w:pPr>
      <w:r>
        <w:separator/>
      </w:r>
    </w:p>
  </w:footnote>
  <w:footnote w:type="continuationSeparator" w:id="0">
    <w:p w:rsidR="00DF2189" w:rsidRDefault="00DF2189" w:rsidP="00DF21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1B637D"/>
    <w:multiLevelType w:val="hybridMultilevel"/>
    <w:tmpl w:val="8BF49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nton, Philip">
    <w15:presenceInfo w15:providerId="AD" w15:userId="S-1-5-21-2009423200-488843608-724182803-879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FE8"/>
    <w:rsid w:val="00013AAA"/>
    <w:rsid w:val="00026842"/>
    <w:rsid w:val="0002739D"/>
    <w:rsid w:val="00037ADA"/>
    <w:rsid w:val="00041C7F"/>
    <w:rsid w:val="00045A0A"/>
    <w:rsid w:val="00053042"/>
    <w:rsid w:val="00067C16"/>
    <w:rsid w:val="00090702"/>
    <w:rsid w:val="00092A01"/>
    <w:rsid w:val="000B076B"/>
    <w:rsid w:val="000B2DE2"/>
    <w:rsid w:val="000E3EC4"/>
    <w:rsid w:val="000F104D"/>
    <w:rsid w:val="000F7315"/>
    <w:rsid w:val="00116D19"/>
    <w:rsid w:val="001370FD"/>
    <w:rsid w:val="00140ED5"/>
    <w:rsid w:val="00144A0E"/>
    <w:rsid w:val="001604C8"/>
    <w:rsid w:val="00163AF0"/>
    <w:rsid w:val="00165E71"/>
    <w:rsid w:val="001770B6"/>
    <w:rsid w:val="00183979"/>
    <w:rsid w:val="0018581B"/>
    <w:rsid w:val="0018775C"/>
    <w:rsid w:val="001B0A2A"/>
    <w:rsid w:val="001C7FD2"/>
    <w:rsid w:val="001E7A53"/>
    <w:rsid w:val="001E7D98"/>
    <w:rsid w:val="001F0CBE"/>
    <w:rsid w:val="00201C5E"/>
    <w:rsid w:val="00203071"/>
    <w:rsid w:val="00217673"/>
    <w:rsid w:val="002252C1"/>
    <w:rsid w:val="002261E1"/>
    <w:rsid w:val="002376B8"/>
    <w:rsid w:val="00237FE8"/>
    <w:rsid w:val="00241C47"/>
    <w:rsid w:val="002427C7"/>
    <w:rsid w:val="0024619C"/>
    <w:rsid w:val="002467E3"/>
    <w:rsid w:val="00246ABF"/>
    <w:rsid w:val="002649EF"/>
    <w:rsid w:val="00266F27"/>
    <w:rsid w:val="002705DF"/>
    <w:rsid w:val="00272C73"/>
    <w:rsid w:val="00273665"/>
    <w:rsid w:val="00273799"/>
    <w:rsid w:val="00284C39"/>
    <w:rsid w:val="00285CD6"/>
    <w:rsid w:val="0028618A"/>
    <w:rsid w:val="002A59AF"/>
    <w:rsid w:val="002C5B7E"/>
    <w:rsid w:val="002C67BF"/>
    <w:rsid w:val="002D0DC0"/>
    <w:rsid w:val="002D5B17"/>
    <w:rsid w:val="003032A5"/>
    <w:rsid w:val="00330C00"/>
    <w:rsid w:val="00343521"/>
    <w:rsid w:val="003441FD"/>
    <w:rsid w:val="003520AA"/>
    <w:rsid w:val="00352ABC"/>
    <w:rsid w:val="00356FED"/>
    <w:rsid w:val="00386894"/>
    <w:rsid w:val="0039128C"/>
    <w:rsid w:val="003A1E02"/>
    <w:rsid w:val="003A5B06"/>
    <w:rsid w:val="003A7CC6"/>
    <w:rsid w:val="003B56B4"/>
    <w:rsid w:val="003E681F"/>
    <w:rsid w:val="00404CD0"/>
    <w:rsid w:val="00406158"/>
    <w:rsid w:val="004341FF"/>
    <w:rsid w:val="00437802"/>
    <w:rsid w:val="00462F9C"/>
    <w:rsid w:val="00467947"/>
    <w:rsid w:val="00493EA8"/>
    <w:rsid w:val="00494A8E"/>
    <w:rsid w:val="004A60AE"/>
    <w:rsid w:val="004A690E"/>
    <w:rsid w:val="004C13D2"/>
    <w:rsid w:val="004D787E"/>
    <w:rsid w:val="004D7A7F"/>
    <w:rsid w:val="004E44E2"/>
    <w:rsid w:val="004E53AB"/>
    <w:rsid w:val="004E7F3A"/>
    <w:rsid w:val="004F0C52"/>
    <w:rsid w:val="00502186"/>
    <w:rsid w:val="00504E8C"/>
    <w:rsid w:val="00505190"/>
    <w:rsid w:val="0050608B"/>
    <w:rsid w:val="00511CA1"/>
    <w:rsid w:val="005137B9"/>
    <w:rsid w:val="00520FEB"/>
    <w:rsid w:val="005445F0"/>
    <w:rsid w:val="0056564F"/>
    <w:rsid w:val="0059575B"/>
    <w:rsid w:val="005A1E8F"/>
    <w:rsid w:val="005E2F3B"/>
    <w:rsid w:val="005E5EBE"/>
    <w:rsid w:val="005F4E1A"/>
    <w:rsid w:val="006024DE"/>
    <w:rsid w:val="00604CD7"/>
    <w:rsid w:val="00643566"/>
    <w:rsid w:val="0066029A"/>
    <w:rsid w:val="0066207B"/>
    <w:rsid w:val="006718AA"/>
    <w:rsid w:val="00696489"/>
    <w:rsid w:val="006E61E6"/>
    <w:rsid w:val="0070505E"/>
    <w:rsid w:val="00707AD8"/>
    <w:rsid w:val="007105EC"/>
    <w:rsid w:val="0071203F"/>
    <w:rsid w:val="00715FD4"/>
    <w:rsid w:val="00721DD7"/>
    <w:rsid w:val="00723554"/>
    <w:rsid w:val="00726E85"/>
    <w:rsid w:val="00752424"/>
    <w:rsid w:val="007579B0"/>
    <w:rsid w:val="0076338D"/>
    <w:rsid w:val="00767A48"/>
    <w:rsid w:val="007706D7"/>
    <w:rsid w:val="00774958"/>
    <w:rsid w:val="00776D06"/>
    <w:rsid w:val="007923D6"/>
    <w:rsid w:val="0079296C"/>
    <w:rsid w:val="007A08C7"/>
    <w:rsid w:val="007A5F77"/>
    <w:rsid w:val="007E0F89"/>
    <w:rsid w:val="007E7270"/>
    <w:rsid w:val="007E7C35"/>
    <w:rsid w:val="008055FF"/>
    <w:rsid w:val="00807A8A"/>
    <w:rsid w:val="00811747"/>
    <w:rsid w:val="0082311B"/>
    <w:rsid w:val="00823225"/>
    <w:rsid w:val="008311C4"/>
    <w:rsid w:val="008351A7"/>
    <w:rsid w:val="00850B42"/>
    <w:rsid w:val="00855D59"/>
    <w:rsid w:val="008662FA"/>
    <w:rsid w:val="00877DF0"/>
    <w:rsid w:val="008945FF"/>
    <w:rsid w:val="008B3585"/>
    <w:rsid w:val="008B73D9"/>
    <w:rsid w:val="008C05B3"/>
    <w:rsid w:val="008D413E"/>
    <w:rsid w:val="008D7908"/>
    <w:rsid w:val="008E54B0"/>
    <w:rsid w:val="00903D7F"/>
    <w:rsid w:val="0091602C"/>
    <w:rsid w:val="0094759B"/>
    <w:rsid w:val="009500F9"/>
    <w:rsid w:val="009610C7"/>
    <w:rsid w:val="00971275"/>
    <w:rsid w:val="00973881"/>
    <w:rsid w:val="00974A16"/>
    <w:rsid w:val="00992085"/>
    <w:rsid w:val="00993215"/>
    <w:rsid w:val="00997472"/>
    <w:rsid w:val="009A1C2E"/>
    <w:rsid w:val="009B095A"/>
    <w:rsid w:val="009B2042"/>
    <w:rsid w:val="009C36B9"/>
    <w:rsid w:val="009D2EF4"/>
    <w:rsid w:val="009D5697"/>
    <w:rsid w:val="009E12F8"/>
    <w:rsid w:val="00A03725"/>
    <w:rsid w:val="00A2203A"/>
    <w:rsid w:val="00A24109"/>
    <w:rsid w:val="00A313DC"/>
    <w:rsid w:val="00A466C3"/>
    <w:rsid w:val="00A46B08"/>
    <w:rsid w:val="00A50078"/>
    <w:rsid w:val="00A60C1D"/>
    <w:rsid w:val="00A611BF"/>
    <w:rsid w:val="00A72DE1"/>
    <w:rsid w:val="00A861DE"/>
    <w:rsid w:val="00A87180"/>
    <w:rsid w:val="00A87706"/>
    <w:rsid w:val="00AB7D0B"/>
    <w:rsid w:val="00AC4A49"/>
    <w:rsid w:val="00AF2BFB"/>
    <w:rsid w:val="00AF43DA"/>
    <w:rsid w:val="00B00AC7"/>
    <w:rsid w:val="00B023EE"/>
    <w:rsid w:val="00B15DC2"/>
    <w:rsid w:val="00B330DA"/>
    <w:rsid w:val="00B35ED2"/>
    <w:rsid w:val="00B70FA2"/>
    <w:rsid w:val="00B91124"/>
    <w:rsid w:val="00BA7F47"/>
    <w:rsid w:val="00BC17D5"/>
    <w:rsid w:val="00BC21C3"/>
    <w:rsid w:val="00BC3F3D"/>
    <w:rsid w:val="00BD36A8"/>
    <w:rsid w:val="00BE46D5"/>
    <w:rsid w:val="00BF4589"/>
    <w:rsid w:val="00BF6EA7"/>
    <w:rsid w:val="00BF78E2"/>
    <w:rsid w:val="00C35F77"/>
    <w:rsid w:val="00C44724"/>
    <w:rsid w:val="00C57625"/>
    <w:rsid w:val="00C9202F"/>
    <w:rsid w:val="00C95826"/>
    <w:rsid w:val="00CB709D"/>
    <w:rsid w:val="00CC0370"/>
    <w:rsid w:val="00CD4955"/>
    <w:rsid w:val="00CD7377"/>
    <w:rsid w:val="00CE0B3C"/>
    <w:rsid w:val="00D206D8"/>
    <w:rsid w:val="00D20EA6"/>
    <w:rsid w:val="00D219A7"/>
    <w:rsid w:val="00D32678"/>
    <w:rsid w:val="00D56CC4"/>
    <w:rsid w:val="00D6446A"/>
    <w:rsid w:val="00D67E2C"/>
    <w:rsid w:val="00DC3606"/>
    <w:rsid w:val="00DC759E"/>
    <w:rsid w:val="00DD7F3D"/>
    <w:rsid w:val="00DF0717"/>
    <w:rsid w:val="00DF2189"/>
    <w:rsid w:val="00DF3D35"/>
    <w:rsid w:val="00DF69DF"/>
    <w:rsid w:val="00DF6FCA"/>
    <w:rsid w:val="00E03287"/>
    <w:rsid w:val="00E20EC2"/>
    <w:rsid w:val="00E44F90"/>
    <w:rsid w:val="00E470CF"/>
    <w:rsid w:val="00E831C7"/>
    <w:rsid w:val="00EA4983"/>
    <w:rsid w:val="00EA50D7"/>
    <w:rsid w:val="00EA6CFA"/>
    <w:rsid w:val="00EB6A7B"/>
    <w:rsid w:val="00EC0382"/>
    <w:rsid w:val="00ED3795"/>
    <w:rsid w:val="00ED6690"/>
    <w:rsid w:val="00ED67D7"/>
    <w:rsid w:val="00F11140"/>
    <w:rsid w:val="00F208C7"/>
    <w:rsid w:val="00F24DC4"/>
    <w:rsid w:val="00F26231"/>
    <w:rsid w:val="00F519A4"/>
    <w:rsid w:val="00F53C24"/>
    <w:rsid w:val="00F6765B"/>
    <w:rsid w:val="00F73A28"/>
    <w:rsid w:val="00FA340A"/>
    <w:rsid w:val="00FB52D0"/>
    <w:rsid w:val="00FC49AE"/>
    <w:rsid w:val="00FD184C"/>
    <w:rsid w:val="00FD2D15"/>
    <w:rsid w:val="00FE2966"/>
    <w:rsid w:val="00FE615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7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6CC4"/>
    <w:pPr>
      <w:ind w:left="720"/>
      <w:contextualSpacing/>
    </w:pPr>
  </w:style>
  <w:style w:type="paragraph" w:styleId="BalloonText">
    <w:name w:val="Balloon Text"/>
    <w:basedOn w:val="Normal"/>
    <w:link w:val="BalloonTextChar"/>
    <w:uiPriority w:val="99"/>
    <w:semiHidden/>
    <w:unhideWhenUsed/>
    <w:rsid w:val="00505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190"/>
    <w:rPr>
      <w:rFonts w:ascii="Tahoma" w:hAnsi="Tahoma" w:cs="Tahoma"/>
      <w:sz w:val="16"/>
      <w:szCs w:val="16"/>
    </w:rPr>
  </w:style>
  <w:style w:type="paragraph" w:styleId="Header">
    <w:name w:val="header"/>
    <w:basedOn w:val="Normal"/>
    <w:link w:val="HeaderChar"/>
    <w:uiPriority w:val="99"/>
    <w:unhideWhenUsed/>
    <w:rsid w:val="00DF21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189"/>
  </w:style>
  <w:style w:type="paragraph" w:styleId="Footer">
    <w:name w:val="footer"/>
    <w:basedOn w:val="Normal"/>
    <w:link w:val="FooterChar"/>
    <w:uiPriority w:val="99"/>
    <w:unhideWhenUsed/>
    <w:rsid w:val="00DF21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1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7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6CC4"/>
    <w:pPr>
      <w:ind w:left="720"/>
      <w:contextualSpacing/>
    </w:pPr>
  </w:style>
  <w:style w:type="paragraph" w:styleId="BalloonText">
    <w:name w:val="Balloon Text"/>
    <w:basedOn w:val="Normal"/>
    <w:link w:val="BalloonTextChar"/>
    <w:uiPriority w:val="99"/>
    <w:semiHidden/>
    <w:unhideWhenUsed/>
    <w:rsid w:val="00505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190"/>
    <w:rPr>
      <w:rFonts w:ascii="Tahoma" w:hAnsi="Tahoma" w:cs="Tahoma"/>
      <w:sz w:val="16"/>
      <w:szCs w:val="16"/>
    </w:rPr>
  </w:style>
  <w:style w:type="paragraph" w:styleId="Header">
    <w:name w:val="header"/>
    <w:basedOn w:val="Normal"/>
    <w:link w:val="HeaderChar"/>
    <w:uiPriority w:val="99"/>
    <w:unhideWhenUsed/>
    <w:rsid w:val="00DF21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189"/>
  </w:style>
  <w:style w:type="paragraph" w:styleId="Footer">
    <w:name w:val="footer"/>
    <w:basedOn w:val="Normal"/>
    <w:link w:val="FooterChar"/>
    <w:uiPriority w:val="99"/>
    <w:unhideWhenUsed/>
    <w:rsid w:val="00DF21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phcpdent</dc:creator>
  <cp:lastModifiedBy>phcpdent</cp:lastModifiedBy>
  <cp:revision>2</cp:revision>
  <dcterms:created xsi:type="dcterms:W3CDTF">2016-06-21T13:11:00Z</dcterms:created>
  <dcterms:modified xsi:type="dcterms:W3CDTF">2016-06-21T13:11:00Z</dcterms:modified>
</cp:coreProperties>
</file>