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34" w:rsidRDefault="00AB6D01" w:rsidP="00737D4E">
      <w:pPr>
        <w:spacing w:line="240" w:lineRule="auto"/>
        <w:rPr>
          <w:rFonts w:asciiTheme="minorHAnsi" w:hAnsiTheme="minorHAnsi" w:cs="Arial"/>
          <w:b/>
          <w:sz w:val="22"/>
        </w:rPr>
      </w:pPr>
      <w:bookmarkStart w:id="0" w:name="_GoBack"/>
      <w:bookmarkEnd w:id="0"/>
      <w:r w:rsidRPr="00AE059C">
        <w:rPr>
          <w:rFonts w:asciiTheme="minorHAnsi" w:hAnsiTheme="minorHAnsi" w:cs="Arial"/>
          <w:b/>
          <w:sz w:val="22"/>
        </w:rPr>
        <w:t>FACULTY (</w:t>
      </w:r>
      <w:r w:rsidR="003E7B09" w:rsidRPr="00AE059C">
        <w:rPr>
          <w:rFonts w:asciiTheme="minorHAnsi" w:hAnsiTheme="minorHAnsi" w:cs="Arial"/>
          <w:b/>
          <w:i/>
          <w:sz w:val="22"/>
        </w:rPr>
        <w:t>Science</w:t>
      </w:r>
      <w:r w:rsidRPr="00AE059C">
        <w:rPr>
          <w:rFonts w:asciiTheme="minorHAnsi" w:hAnsiTheme="minorHAnsi" w:cs="Arial"/>
          <w:b/>
          <w:sz w:val="22"/>
        </w:rPr>
        <w:t xml:space="preserve">) </w:t>
      </w:r>
      <w:r w:rsidR="005F38A0">
        <w:rPr>
          <w:rFonts w:asciiTheme="minorHAnsi" w:hAnsiTheme="minorHAnsi" w:cs="Arial"/>
          <w:b/>
          <w:sz w:val="22"/>
        </w:rPr>
        <w:t>FACULTY STUDENT VOICE REPORT</w:t>
      </w:r>
      <w:r w:rsidR="00737D4E" w:rsidRPr="00AE059C">
        <w:rPr>
          <w:rFonts w:asciiTheme="minorHAnsi" w:hAnsiTheme="minorHAnsi" w:cs="Arial"/>
          <w:b/>
          <w:sz w:val="22"/>
        </w:rPr>
        <w:t xml:space="preserve"> </w:t>
      </w:r>
      <w:r w:rsidR="00B508B0">
        <w:rPr>
          <w:rFonts w:asciiTheme="minorHAnsi" w:hAnsiTheme="minorHAnsi" w:cs="Arial"/>
          <w:b/>
          <w:sz w:val="22"/>
        </w:rPr>
        <w:t xml:space="preserve">Response </w:t>
      </w:r>
      <w:r w:rsidR="00F4136C">
        <w:rPr>
          <w:rFonts w:asciiTheme="minorHAnsi" w:hAnsiTheme="minorHAnsi" w:cs="Arial"/>
          <w:b/>
          <w:sz w:val="22"/>
        </w:rPr>
        <w:t>2014/15</w:t>
      </w:r>
      <w:r w:rsidR="006A2272">
        <w:rPr>
          <w:rFonts w:asciiTheme="minorHAnsi" w:hAnsiTheme="minorHAnsi" w:cs="Arial"/>
          <w:b/>
          <w:sz w:val="22"/>
        </w:rPr>
        <w:t>: DRAFT</w:t>
      </w:r>
    </w:p>
    <w:p w:rsidR="00171635" w:rsidRDefault="00171635" w:rsidP="00737D4E">
      <w:pPr>
        <w:spacing w:line="240" w:lineRule="auto"/>
        <w:rPr>
          <w:rFonts w:asciiTheme="minorHAnsi" w:hAnsiTheme="minorHAnsi" w:cs="Arial"/>
          <w:b/>
          <w:sz w:val="22"/>
        </w:rPr>
      </w:pPr>
      <w:r>
        <w:rPr>
          <w:rFonts w:asciiTheme="minorHAnsi" w:hAnsiTheme="minorHAnsi" w:cs="Arial"/>
          <w:b/>
          <w:sz w:val="22"/>
        </w:rPr>
        <w:t>LiverpoolSU’s Top Ten Academic Priorities ae emboldened.</w:t>
      </w:r>
    </w:p>
    <w:tbl>
      <w:tblPr>
        <w:tblStyle w:val="TableGrid"/>
        <w:tblW w:w="14113" w:type="dxa"/>
        <w:tblLayout w:type="fixed"/>
        <w:tblLook w:val="04A0" w:firstRow="1" w:lastRow="0" w:firstColumn="1" w:lastColumn="0" w:noHBand="0" w:noVBand="1"/>
      </w:tblPr>
      <w:tblGrid>
        <w:gridCol w:w="534"/>
        <w:gridCol w:w="3543"/>
        <w:gridCol w:w="4820"/>
        <w:gridCol w:w="1786"/>
        <w:gridCol w:w="992"/>
        <w:gridCol w:w="2438"/>
      </w:tblGrid>
      <w:tr w:rsidR="004E0CCE" w:rsidRPr="00984474" w:rsidTr="00D85FA9">
        <w:tc>
          <w:tcPr>
            <w:tcW w:w="534" w:type="dxa"/>
          </w:tcPr>
          <w:p w:rsidR="004E0CCE" w:rsidRPr="009E3B1B" w:rsidRDefault="004E0CCE" w:rsidP="009E3B1B">
            <w:pPr>
              <w:spacing w:afterLines="60" w:after="144"/>
              <w:rPr>
                <w:rFonts w:asciiTheme="minorHAnsi" w:hAnsiTheme="minorHAnsi" w:cs="Arial"/>
                <w:b/>
                <w:color w:val="000000" w:themeColor="text1"/>
                <w:sz w:val="22"/>
              </w:rPr>
            </w:pPr>
          </w:p>
        </w:tc>
        <w:tc>
          <w:tcPr>
            <w:tcW w:w="3543" w:type="dxa"/>
          </w:tcPr>
          <w:p w:rsidR="004E0CCE" w:rsidRPr="009E3B1B" w:rsidRDefault="00D85FA9" w:rsidP="009E3B1B">
            <w:pPr>
              <w:spacing w:afterLines="60" w:after="144"/>
              <w:rPr>
                <w:rFonts w:asciiTheme="minorHAnsi" w:hAnsiTheme="minorHAnsi" w:cs="Arial"/>
                <w:b/>
                <w:color w:val="000000" w:themeColor="text1"/>
                <w:sz w:val="22"/>
              </w:rPr>
            </w:pPr>
            <w:r>
              <w:rPr>
                <w:rFonts w:asciiTheme="minorHAnsi" w:hAnsiTheme="minorHAnsi" w:cs="Arial"/>
                <w:b/>
                <w:color w:val="000000" w:themeColor="text1"/>
                <w:sz w:val="22"/>
              </w:rPr>
              <w:t xml:space="preserve">FSVR </w:t>
            </w:r>
            <w:r w:rsidR="004E0CCE" w:rsidRPr="009E3B1B">
              <w:rPr>
                <w:rFonts w:asciiTheme="minorHAnsi" w:hAnsiTheme="minorHAnsi" w:cs="Arial"/>
                <w:b/>
                <w:color w:val="000000" w:themeColor="text1"/>
                <w:sz w:val="22"/>
              </w:rPr>
              <w:t>Recommendation</w:t>
            </w:r>
          </w:p>
        </w:tc>
        <w:tc>
          <w:tcPr>
            <w:tcW w:w="4820" w:type="dxa"/>
          </w:tcPr>
          <w:p w:rsidR="004E0CCE" w:rsidRPr="009E3B1B" w:rsidRDefault="00B508B0" w:rsidP="009E3B1B">
            <w:pPr>
              <w:spacing w:afterLines="60" w:after="144"/>
              <w:rPr>
                <w:rFonts w:asciiTheme="minorHAnsi" w:hAnsiTheme="minorHAnsi" w:cs="Arial"/>
                <w:b/>
                <w:i/>
                <w:color w:val="000000" w:themeColor="text1"/>
                <w:sz w:val="22"/>
              </w:rPr>
            </w:pPr>
            <w:r w:rsidRPr="009E3B1B">
              <w:rPr>
                <w:rFonts w:asciiTheme="minorHAnsi" w:hAnsiTheme="minorHAnsi" w:cs="Arial"/>
                <w:b/>
                <w:color w:val="000000" w:themeColor="text1"/>
                <w:sz w:val="22"/>
              </w:rPr>
              <w:t>Response</w:t>
            </w:r>
          </w:p>
          <w:p w:rsidR="004E0CCE" w:rsidRPr="009E3B1B" w:rsidRDefault="004E0CCE" w:rsidP="009E3B1B">
            <w:pPr>
              <w:spacing w:afterLines="60" w:after="144"/>
              <w:rPr>
                <w:rFonts w:asciiTheme="minorHAnsi" w:hAnsiTheme="minorHAnsi" w:cs="Arial"/>
                <w:b/>
                <w:i/>
                <w:color w:val="000000" w:themeColor="text1"/>
                <w:sz w:val="22"/>
              </w:rPr>
            </w:pPr>
          </w:p>
        </w:tc>
        <w:tc>
          <w:tcPr>
            <w:tcW w:w="1786" w:type="dxa"/>
          </w:tcPr>
          <w:p w:rsidR="004E0CCE" w:rsidRPr="009E3B1B" w:rsidRDefault="004E0CCE" w:rsidP="009E3B1B">
            <w:pPr>
              <w:spacing w:afterLines="60" w:after="144"/>
              <w:rPr>
                <w:rFonts w:asciiTheme="minorHAnsi" w:hAnsiTheme="minorHAnsi" w:cs="Arial"/>
                <w:b/>
                <w:color w:val="000000" w:themeColor="text1"/>
                <w:sz w:val="22"/>
              </w:rPr>
            </w:pPr>
            <w:r w:rsidRPr="009E3B1B">
              <w:rPr>
                <w:rFonts w:asciiTheme="minorHAnsi" w:hAnsiTheme="minorHAnsi" w:cs="Arial"/>
                <w:b/>
                <w:color w:val="000000" w:themeColor="text1"/>
                <w:sz w:val="22"/>
              </w:rPr>
              <w:t>Led by</w:t>
            </w:r>
          </w:p>
        </w:tc>
        <w:tc>
          <w:tcPr>
            <w:tcW w:w="992" w:type="dxa"/>
          </w:tcPr>
          <w:p w:rsidR="004E0CCE" w:rsidRPr="009E3B1B" w:rsidRDefault="004E0CCE" w:rsidP="009E3B1B">
            <w:pPr>
              <w:spacing w:afterLines="60" w:after="144"/>
              <w:rPr>
                <w:rFonts w:asciiTheme="minorHAnsi" w:hAnsiTheme="minorHAnsi" w:cs="Arial"/>
                <w:b/>
                <w:color w:val="000000" w:themeColor="text1"/>
                <w:sz w:val="22"/>
              </w:rPr>
            </w:pPr>
            <w:r w:rsidRPr="009E3B1B">
              <w:rPr>
                <w:rFonts w:asciiTheme="minorHAnsi" w:hAnsiTheme="minorHAnsi" w:cs="Arial"/>
                <w:b/>
                <w:color w:val="000000" w:themeColor="text1"/>
                <w:sz w:val="22"/>
              </w:rPr>
              <w:t>Time-scale</w:t>
            </w:r>
          </w:p>
        </w:tc>
        <w:tc>
          <w:tcPr>
            <w:tcW w:w="2438" w:type="dxa"/>
          </w:tcPr>
          <w:p w:rsidR="004E0CCE" w:rsidRPr="00D85FA9" w:rsidRDefault="004E0CCE" w:rsidP="00D85FA9">
            <w:pPr>
              <w:spacing w:afterLines="60" w:after="144"/>
              <w:rPr>
                <w:rFonts w:asciiTheme="minorHAnsi" w:hAnsiTheme="minorHAnsi" w:cs="Arial"/>
                <w:b/>
                <w:color w:val="000000" w:themeColor="text1"/>
                <w:sz w:val="22"/>
              </w:rPr>
            </w:pPr>
            <w:r w:rsidRPr="00D85FA9">
              <w:rPr>
                <w:rFonts w:asciiTheme="minorHAnsi" w:hAnsiTheme="minorHAnsi" w:cs="Arial"/>
                <w:b/>
                <w:color w:val="000000" w:themeColor="text1"/>
                <w:sz w:val="22"/>
              </w:rPr>
              <w:t xml:space="preserve">Support/ resources needed </w:t>
            </w:r>
          </w:p>
        </w:tc>
      </w:tr>
      <w:tr w:rsidR="004E0CCE" w:rsidRPr="000051C1" w:rsidTr="00D85FA9">
        <w:tc>
          <w:tcPr>
            <w:tcW w:w="534" w:type="dxa"/>
          </w:tcPr>
          <w:p w:rsidR="004E0CCE" w:rsidRPr="009E3B1B" w:rsidRDefault="004E0CCE"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1</w:t>
            </w:r>
          </w:p>
        </w:tc>
        <w:tc>
          <w:tcPr>
            <w:tcW w:w="3543" w:type="dxa"/>
          </w:tcPr>
          <w:p w:rsidR="004E0CCE" w:rsidRPr="009E3B1B" w:rsidRDefault="004E0CCE"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Group work assessment guidelines are created, which brings with it a fair and standardised marking criteria.</w:t>
            </w:r>
          </w:p>
          <w:p w:rsidR="004E0CCE" w:rsidRPr="009E3B1B" w:rsidRDefault="004E0CCE" w:rsidP="009E3B1B">
            <w:pPr>
              <w:spacing w:afterLines="60" w:after="144"/>
              <w:rPr>
                <w:rFonts w:asciiTheme="minorHAnsi" w:hAnsiTheme="minorHAnsi"/>
                <w:color w:val="000000" w:themeColor="text1"/>
                <w:sz w:val="22"/>
              </w:rPr>
            </w:pPr>
          </w:p>
        </w:tc>
        <w:tc>
          <w:tcPr>
            <w:tcW w:w="4820" w:type="dxa"/>
          </w:tcPr>
          <w:p w:rsidR="004E0CCE" w:rsidRPr="009E3B1B" w:rsidRDefault="004E0CCE"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Provide Faculty tutorial resources to support </w:t>
            </w:r>
            <w:r w:rsidR="009E3B1B" w:rsidRPr="009E3B1B">
              <w:rPr>
                <w:rFonts w:asciiTheme="minorHAnsi" w:hAnsiTheme="minorHAnsi"/>
                <w:b/>
                <w:color w:val="000000" w:themeColor="text1"/>
                <w:sz w:val="22"/>
              </w:rPr>
              <w:t>g</w:t>
            </w:r>
            <w:r w:rsidRPr="009E3B1B">
              <w:rPr>
                <w:rFonts w:asciiTheme="minorHAnsi" w:hAnsiTheme="minorHAnsi"/>
                <w:b/>
                <w:color w:val="000000" w:themeColor="text1"/>
                <w:sz w:val="22"/>
              </w:rPr>
              <w:t xml:space="preserve">roup </w:t>
            </w:r>
            <w:r w:rsidR="009E3B1B" w:rsidRPr="009E3B1B">
              <w:rPr>
                <w:rFonts w:asciiTheme="minorHAnsi" w:hAnsiTheme="minorHAnsi"/>
                <w:b/>
                <w:color w:val="000000" w:themeColor="text1"/>
                <w:sz w:val="22"/>
              </w:rPr>
              <w:t>w</w:t>
            </w:r>
            <w:r w:rsidRPr="009E3B1B">
              <w:rPr>
                <w:rFonts w:asciiTheme="minorHAnsi" w:hAnsiTheme="minorHAnsi"/>
                <w:b/>
                <w:color w:val="000000" w:themeColor="text1"/>
                <w:sz w:val="22"/>
              </w:rPr>
              <w:t>ork</w:t>
            </w:r>
            <w:r w:rsidRPr="009E3B1B">
              <w:rPr>
                <w:rFonts w:asciiTheme="minorHAnsi" w:hAnsiTheme="minorHAnsi"/>
                <w:color w:val="000000" w:themeColor="text1"/>
                <w:sz w:val="22"/>
              </w:rPr>
              <w:t>, developed by the Teaching and Learning Academy.</w:t>
            </w:r>
          </w:p>
          <w:p w:rsidR="004E0CCE" w:rsidRPr="009E3B1B" w:rsidRDefault="004E0CCE" w:rsidP="004170B5">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Explore development of marking criteria </w:t>
            </w:r>
            <w:r w:rsidR="00444319" w:rsidRPr="009E3B1B">
              <w:rPr>
                <w:rFonts w:asciiTheme="minorHAnsi" w:hAnsiTheme="minorHAnsi"/>
                <w:color w:val="000000" w:themeColor="text1"/>
                <w:sz w:val="22"/>
              </w:rPr>
              <w:t xml:space="preserve">for </w:t>
            </w:r>
            <w:r w:rsidR="009E3B1B" w:rsidRPr="009E3B1B">
              <w:rPr>
                <w:rFonts w:asciiTheme="minorHAnsi" w:hAnsiTheme="minorHAnsi"/>
                <w:b/>
                <w:color w:val="000000" w:themeColor="text1"/>
                <w:sz w:val="22"/>
              </w:rPr>
              <w:t>g</w:t>
            </w:r>
            <w:r w:rsidR="00444319" w:rsidRPr="009E3B1B">
              <w:rPr>
                <w:rFonts w:asciiTheme="minorHAnsi" w:hAnsiTheme="minorHAnsi"/>
                <w:b/>
                <w:color w:val="000000" w:themeColor="text1"/>
                <w:sz w:val="22"/>
              </w:rPr>
              <w:t xml:space="preserve">roup </w:t>
            </w:r>
            <w:r w:rsidR="009E3B1B" w:rsidRPr="009E3B1B">
              <w:rPr>
                <w:rFonts w:asciiTheme="minorHAnsi" w:hAnsiTheme="minorHAnsi"/>
                <w:b/>
                <w:color w:val="000000" w:themeColor="text1"/>
                <w:sz w:val="22"/>
              </w:rPr>
              <w:t>w</w:t>
            </w:r>
            <w:r w:rsidR="00444319" w:rsidRPr="009E3B1B">
              <w:rPr>
                <w:rFonts w:asciiTheme="minorHAnsi" w:hAnsiTheme="minorHAnsi"/>
                <w:b/>
                <w:color w:val="000000" w:themeColor="text1"/>
                <w:sz w:val="22"/>
              </w:rPr>
              <w:t>ork</w:t>
            </w:r>
            <w:r w:rsidR="00444319" w:rsidRPr="009E3B1B">
              <w:rPr>
                <w:rFonts w:asciiTheme="minorHAnsi" w:hAnsiTheme="minorHAnsi"/>
                <w:color w:val="000000" w:themeColor="text1"/>
                <w:sz w:val="22"/>
              </w:rPr>
              <w:t xml:space="preserve"> </w:t>
            </w:r>
            <w:r w:rsidRPr="009E3B1B">
              <w:rPr>
                <w:rFonts w:asciiTheme="minorHAnsi" w:hAnsiTheme="minorHAnsi"/>
                <w:color w:val="000000" w:themeColor="text1"/>
                <w:sz w:val="22"/>
              </w:rPr>
              <w:t>with Learning and Teaching Development Group</w:t>
            </w:r>
            <w:r w:rsidR="00D23E28" w:rsidRPr="009E3B1B">
              <w:rPr>
                <w:rFonts w:asciiTheme="minorHAnsi" w:hAnsiTheme="minorHAnsi"/>
                <w:color w:val="000000" w:themeColor="text1"/>
                <w:sz w:val="22"/>
              </w:rPr>
              <w:t xml:space="preserve"> (LTDG)</w:t>
            </w:r>
            <w:r w:rsidRPr="009E3B1B">
              <w:rPr>
                <w:rFonts w:asciiTheme="minorHAnsi" w:hAnsiTheme="minorHAnsi"/>
                <w:color w:val="000000" w:themeColor="text1"/>
                <w:sz w:val="22"/>
              </w:rPr>
              <w:t>.</w:t>
            </w:r>
          </w:p>
        </w:tc>
        <w:tc>
          <w:tcPr>
            <w:tcW w:w="1786" w:type="dxa"/>
          </w:tcPr>
          <w:p w:rsidR="004E0CCE" w:rsidRPr="009E3B1B" w:rsidRDefault="004E0CCE"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Associate Dean (Education)</w:t>
            </w:r>
            <w:r w:rsidR="00F66047" w:rsidRPr="009E3B1B">
              <w:rPr>
                <w:rFonts w:asciiTheme="minorHAnsi" w:hAnsiTheme="minorHAnsi"/>
                <w:color w:val="000000" w:themeColor="text1"/>
                <w:sz w:val="22"/>
              </w:rPr>
              <w:t>,</w:t>
            </w:r>
            <w:r w:rsidR="00D23E28" w:rsidRPr="009E3B1B">
              <w:rPr>
                <w:rFonts w:asciiTheme="minorHAnsi" w:hAnsiTheme="minorHAnsi"/>
                <w:color w:val="000000" w:themeColor="text1"/>
                <w:sz w:val="22"/>
              </w:rPr>
              <w:t xml:space="preserve"> Teaching and Learning Academy,</w:t>
            </w:r>
            <w:r w:rsidR="00F66047" w:rsidRPr="009E3B1B">
              <w:rPr>
                <w:rFonts w:asciiTheme="minorHAnsi" w:hAnsiTheme="minorHAnsi"/>
                <w:color w:val="000000" w:themeColor="text1"/>
                <w:sz w:val="22"/>
              </w:rPr>
              <w:t xml:space="preserve"> LTDG</w:t>
            </w:r>
          </w:p>
        </w:tc>
        <w:tc>
          <w:tcPr>
            <w:tcW w:w="992" w:type="dxa"/>
          </w:tcPr>
          <w:p w:rsidR="004E0CCE" w:rsidRPr="009E3B1B" w:rsidRDefault="004E0CCE"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4E0CCE" w:rsidRPr="00D85FA9" w:rsidRDefault="004E0CCE"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Teaching and Learning Academy (Group work resources)</w:t>
            </w:r>
          </w:p>
          <w:p w:rsidR="004E0CCE" w:rsidRPr="00D85FA9" w:rsidRDefault="00AF46D5"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LTDG</w:t>
            </w:r>
          </w:p>
          <w:p w:rsidR="004E0CCE" w:rsidRPr="009E3B1B" w:rsidRDefault="004E0CCE" w:rsidP="00D85FA9">
            <w:pPr>
              <w:spacing w:afterLines="60" w:after="144"/>
              <w:rPr>
                <w:rFonts w:asciiTheme="minorHAnsi" w:hAnsiTheme="minorHAnsi"/>
                <w:color w:val="000000" w:themeColor="text1"/>
                <w:sz w:val="22"/>
              </w:rPr>
            </w:pPr>
          </w:p>
        </w:tc>
      </w:tr>
      <w:tr w:rsidR="006A2272" w:rsidRPr="000051C1" w:rsidTr="00D85FA9">
        <w:tc>
          <w:tcPr>
            <w:tcW w:w="534" w:type="dxa"/>
          </w:tcPr>
          <w:p w:rsidR="006A2272" w:rsidRPr="009E3B1B" w:rsidRDefault="006A2272"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2</w:t>
            </w:r>
          </w:p>
        </w:tc>
        <w:tc>
          <w:tcPr>
            <w:tcW w:w="3543"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A University wide policy that requires lecture aids and resources to be made available on Blackboard a minimum of 24 hours in advance of lectures is implemented and monitored.</w:t>
            </w:r>
          </w:p>
          <w:p w:rsidR="006A2272" w:rsidRPr="009E3B1B" w:rsidRDefault="006A2272" w:rsidP="009E3B1B">
            <w:pPr>
              <w:spacing w:afterLines="60" w:after="144"/>
              <w:rPr>
                <w:rFonts w:asciiTheme="minorHAnsi" w:hAnsiTheme="minorHAnsi"/>
                <w:color w:val="000000" w:themeColor="text1"/>
                <w:sz w:val="22"/>
              </w:rPr>
            </w:pPr>
          </w:p>
        </w:tc>
        <w:tc>
          <w:tcPr>
            <w:tcW w:w="4820" w:type="dxa"/>
          </w:tcPr>
          <w:p w:rsidR="006A2272" w:rsidRPr="009E3B1B" w:rsidRDefault="009E3B1B"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24hrs in advance is already </w:t>
            </w:r>
            <w:hyperlink r:id="rId11" w:history="1">
              <w:r w:rsidR="006A2272" w:rsidRPr="00ED7E5C">
                <w:rPr>
                  <w:rStyle w:val="Hyperlink"/>
                  <w:rFonts w:asciiTheme="minorHAnsi" w:hAnsiTheme="minorHAnsi"/>
                  <w:sz w:val="22"/>
                </w:rPr>
                <w:t>Faculty policy</w:t>
              </w:r>
            </w:hyperlink>
            <w:r w:rsidR="006A2272" w:rsidRPr="009E3B1B">
              <w:rPr>
                <w:rFonts w:asciiTheme="minorHAnsi" w:hAnsiTheme="minorHAnsi"/>
                <w:color w:val="000000" w:themeColor="text1"/>
                <w:sz w:val="22"/>
              </w:rPr>
              <w:t xml:space="preserve"> for lecture aids </w:t>
            </w:r>
            <w:r w:rsidRPr="009E3B1B">
              <w:rPr>
                <w:rFonts w:asciiTheme="minorHAnsi" w:hAnsiTheme="minorHAnsi"/>
                <w:color w:val="000000" w:themeColor="text1"/>
                <w:sz w:val="22"/>
              </w:rPr>
              <w:t xml:space="preserve">on </w:t>
            </w:r>
            <w:r w:rsidRPr="009E3B1B">
              <w:rPr>
                <w:rFonts w:asciiTheme="minorHAnsi" w:hAnsiTheme="minorHAnsi"/>
                <w:b/>
                <w:color w:val="000000" w:themeColor="text1"/>
                <w:sz w:val="22"/>
              </w:rPr>
              <w:t>Blackboard</w:t>
            </w:r>
            <w:r w:rsidRPr="009E3B1B">
              <w:rPr>
                <w:rFonts w:asciiTheme="minorHAnsi" w:hAnsiTheme="minorHAnsi"/>
                <w:color w:val="000000" w:themeColor="text1"/>
                <w:sz w:val="22"/>
              </w:rPr>
              <w:t xml:space="preserve"> </w:t>
            </w:r>
            <w:r w:rsidR="004170B5">
              <w:rPr>
                <w:rFonts w:asciiTheme="minorHAnsi" w:hAnsiTheme="minorHAnsi"/>
                <w:color w:val="000000" w:themeColor="text1"/>
                <w:sz w:val="22"/>
              </w:rPr>
              <w:t>(although up to 48 hrs after</w:t>
            </w:r>
            <w:r w:rsidR="006A2272" w:rsidRPr="009E3B1B">
              <w:rPr>
                <w:rFonts w:asciiTheme="minorHAnsi" w:hAnsiTheme="minorHAnsi"/>
                <w:color w:val="000000" w:themeColor="text1"/>
                <w:sz w:val="22"/>
              </w:rPr>
              <w:t xml:space="preserve"> is permissible e.g. </w:t>
            </w:r>
            <w:r w:rsidR="004170B5" w:rsidRPr="009E3B1B">
              <w:rPr>
                <w:rFonts w:asciiTheme="minorHAnsi" w:hAnsiTheme="minorHAnsi"/>
                <w:color w:val="000000" w:themeColor="text1"/>
                <w:sz w:val="22"/>
              </w:rPr>
              <w:t>after-the-event model answers</w:t>
            </w:r>
            <w:r w:rsidR="006A2272" w:rsidRPr="009E3B1B">
              <w:rPr>
                <w:rFonts w:asciiTheme="minorHAnsi" w:hAnsiTheme="minorHAnsi"/>
                <w:color w:val="000000" w:themeColor="text1"/>
                <w:sz w:val="22"/>
              </w:rPr>
              <w:t>).</w:t>
            </w:r>
          </w:p>
          <w:p w:rsidR="00ED4DB3" w:rsidRPr="009E3B1B" w:rsidRDefault="00ED4DB3"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Deficiencies</w:t>
            </w:r>
            <w:r w:rsidR="00A92C6E">
              <w:rPr>
                <w:rFonts w:asciiTheme="minorHAnsi" w:hAnsiTheme="minorHAnsi"/>
                <w:color w:val="000000" w:themeColor="text1"/>
                <w:sz w:val="22"/>
              </w:rPr>
              <w:t xml:space="preserve"> in this provision would be</w:t>
            </w:r>
            <w:r w:rsidRPr="009E3B1B">
              <w:rPr>
                <w:rFonts w:asciiTheme="minorHAnsi" w:hAnsiTheme="minorHAnsi"/>
                <w:color w:val="000000" w:themeColor="text1"/>
                <w:sz w:val="22"/>
              </w:rPr>
              <w:t xml:space="preserve"> reported by Course Reps at BoS (SCS has highest % of trained Course Reps at LJMU).</w:t>
            </w:r>
          </w:p>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Explore possibility </w:t>
            </w:r>
            <w:r w:rsidR="00565BF1">
              <w:rPr>
                <w:rFonts w:asciiTheme="minorHAnsi" w:hAnsiTheme="minorHAnsi"/>
                <w:color w:val="000000" w:themeColor="text1"/>
                <w:sz w:val="22"/>
              </w:rPr>
              <w:t>of University-</w:t>
            </w:r>
            <w:r w:rsidRPr="009E3B1B">
              <w:rPr>
                <w:rFonts w:asciiTheme="minorHAnsi" w:hAnsiTheme="minorHAnsi"/>
                <w:color w:val="000000" w:themeColor="text1"/>
                <w:sz w:val="22"/>
              </w:rPr>
              <w:t>wide policy on lecture aids with Learning and Teaching Development Group.</w:t>
            </w:r>
          </w:p>
        </w:tc>
        <w:tc>
          <w:tcPr>
            <w:tcW w:w="1786" w:type="dxa"/>
          </w:tcPr>
          <w:p w:rsidR="006A2272" w:rsidRPr="009E3B1B" w:rsidRDefault="006A2272"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 xml:space="preserve">LTDG  </w:t>
            </w:r>
          </w:p>
        </w:tc>
        <w:tc>
          <w:tcPr>
            <w:tcW w:w="992"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6A2272" w:rsidRPr="00D85FA9" w:rsidRDefault="006A2272"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LTDG</w:t>
            </w:r>
          </w:p>
          <w:p w:rsidR="006A2272" w:rsidRPr="009E3B1B" w:rsidRDefault="006A2272" w:rsidP="00D85FA9">
            <w:pPr>
              <w:pStyle w:val="ListParagraph"/>
              <w:spacing w:afterLines="60" w:after="144"/>
              <w:ind w:left="0"/>
              <w:rPr>
                <w:rFonts w:asciiTheme="minorHAnsi" w:hAnsiTheme="minorHAnsi"/>
                <w:color w:val="000000" w:themeColor="text1"/>
                <w:sz w:val="22"/>
              </w:rPr>
            </w:pPr>
          </w:p>
        </w:tc>
      </w:tr>
      <w:tr w:rsidR="006A2272" w:rsidRPr="000051C1" w:rsidTr="00D85FA9">
        <w:tc>
          <w:tcPr>
            <w:tcW w:w="534" w:type="dxa"/>
          </w:tcPr>
          <w:p w:rsidR="006A2272" w:rsidRPr="009E3B1B" w:rsidRDefault="006A2272"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3</w:t>
            </w:r>
          </w:p>
        </w:tc>
        <w:tc>
          <w:tcPr>
            <w:tcW w:w="3543"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Explore ways to give recognition to the effective use of technology in learning, and invest in staff development to support them to do this.</w:t>
            </w:r>
          </w:p>
          <w:p w:rsidR="006A2272" w:rsidRPr="009E3B1B" w:rsidRDefault="006A2272" w:rsidP="009E3B1B">
            <w:pPr>
              <w:spacing w:afterLines="60" w:after="144"/>
              <w:rPr>
                <w:rFonts w:asciiTheme="minorHAnsi" w:hAnsiTheme="minorHAnsi"/>
                <w:color w:val="000000" w:themeColor="text1"/>
                <w:sz w:val="22"/>
              </w:rPr>
            </w:pPr>
          </w:p>
        </w:tc>
        <w:tc>
          <w:tcPr>
            <w:tcW w:w="4820"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Publish a new </w:t>
            </w:r>
            <w:hyperlink r:id="rId12" w:history="1">
              <w:r w:rsidRPr="009E3B1B">
                <w:rPr>
                  <w:rStyle w:val="Hyperlink"/>
                  <w:rFonts w:asciiTheme="minorHAnsi" w:hAnsiTheme="minorHAnsi"/>
                  <w:sz w:val="22"/>
                </w:rPr>
                <w:t>Faculty LTA website</w:t>
              </w:r>
            </w:hyperlink>
            <w:r w:rsidRPr="009E3B1B">
              <w:rPr>
                <w:rFonts w:asciiTheme="minorHAnsi" w:hAnsiTheme="minorHAnsi"/>
                <w:color w:val="000000" w:themeColor="text1"/>
                <w:sz w:val="22"/>
              </w:rPr>
              <w:t xml:space="preserve"> to share good practice in lea</w:t>
            </w:r>
            <w:r w:rsidR="00953700">
              <w:rPr>
                <w:rFonts w:asciiTheme="minorHAnsi" w:hAnsiTheme="minorHAnsi"/>
                <w:color w:val="000000" w:themeColor="text1"/>
                <w:sz w:val="22"/>
              </w:rPr>
              <w:t>rning, teaching and assessment</w:t>
            </w:r>
            <w:r w:rsidRPr="009E3B1B">
              <w:rPr>
                <w:rFonts w:asciiTheme="minorHAnsi" w:hAnsiTheme="minorHAnsi"/>
                <w:color w:val="000000" w:themeColor="text1"/>
                <w:sz w:val="22"/>
              </w:rPr>
              <w:t>.</w:t>
            </w:r>
          </w:p>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Establish a </w:t>
            </w:r>
            <w:hyperlink r:id="rId13" w:history="1">
              <w:r w:rsidRPr="009E3B1B">
                <w:rPr>
                  <w:rStyle w:val="Hyperlink"/>
                  <w:rFonts w:asciiTheme="minorHAnsi" w:hAnsiTheme="minorHAnsi"/>
                  <w:sz w:val="22"/>
                </w:rPr>
                <w:t>Faculty LTA development day</w:t>
              </w:r>
            </w:hyperlink>
            <w:r w:rsidRPr="009E3B1B">
              <w:rPr>
                <w:rFonts w:asciiTheme="minorHAnsi" w:hAnsiTheme="minorHAnsi"/>
                <w:color w:val="000000" w:themeColor="text1"/>
                <w:sz w:val="22"/>
              </w:rPr>
              <w:t xml:space="preserve"> on a well-publicised date outside of Teaching Weeks and include a session on technology in learning</w:t>
            </w:r>
            <w:r w:rsidR="009E3B1B" w:rsidRPr="009E3B1B">
              <w:rPr>
                <w:rFonts w:asciiTheme="minorHAnsi" w:hAnsiTheme="minorHAnsi"/>
                <w:color w:val="000000" w:themeColor="text1"/>
                <w:sz w:val="22"/>
              </w:rPr>
              <w:t xml:space="preserve"> and </w:t>
            </w:r>
            <w:r w:rsidR="009E3B1B" w:rsidRPr="009E3B1B">
              <w:rPr>
                <w:rFonts w:asciiTheme="minorHAnsi" w:hAnsiTheme="minorHAnsi"/>
                <w:b/>
                <w:color w:val="000000" w:themeColor="text1"/>
                <w:sz w:val="22"/>
              </w:rPr>
              <w:t>Blackboard</w:t>
            </w:r>
            <w:r w:rsidRPr="009E3B1B">
              <w:rPr>
                <w:rFonts w:asciiTheme="minorHAnsi" w:hAnsiTheme="minorHAnsi"/>
                <w:color w:val="000000" w:themeColor="text1"/>
                <w:sz w:val="22"/>
              </w:rPr>
              <w:t xml:space="preserve"> in 2014.</w:t>
            </w:r>
          </w:p>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Continue </w:t>
            </w:r>
            <w:hyperlink r:id="rId14" w:history="1">
              <w:r w:rsidRPr="009E3B1B">
                <w:rPr>
                  <w:rStyle w:val="Hyperlink"/>
                  <w:rFonts w:asciiTheme="minorHAnsi" w:hAnsiTheme="minorHAnsi"/>
                  <w:sz w:val="22"/>
                </w:rPr>
                <w:t>LTA Update</w:t>
              </w:r>
            </w:hyperlink>
            <w:r w:rsidRPr="009E3B1B">
              <w:rPr>
                <w:rFonts w:asciiTheme="minorHAnsi" w:hAnsiTheme="minorHAnsi"/>
                <w:color w:val="000000" w:themeColor="text1"/>
                <w:sz w:val="22"/>
              </w:rPr>
              <w:t xml:space="preserve"> emails and include content </w:t>
            </w:r>
            <w:r w:rsidRPr="009E3B1B">
              <w:rPr>
                <w:rFonts w:asciiTheme="minorHAnsi" w:hAnsiTheme="minorHAnsi"/>
                <w:color w:val="000000" w:themeColor="text1"/>
                <w:sz w:val="22"/>
              </w:rPr>
              <w:lastRenderedPageBreak/>
              <w:t>on technology in learning</w:t>
            </w:r>
            <w:r w:rsidR="009E3B1B" w:rsidRPr="009E3B1B">
              <w:rPr>
                <w:rFonts w:asciiTheme="minorHAnsi" w:hAnsiTheme="minorHAnsi"/>
                <w:sz w:val="22"/>
              </w:rPr>
              <w:t xml:space="preserve">, including </w:t>
            </w:r>
            <w:r w:rsidR="009E3B1B" w:rsidRPr="009E3B1B">
              <w:rPr>
                <w:rFonts w:asciiTheme="minorHAnsi" w:hAnsiTheme="minorHAnsi"/>
                <w:b/>
                <w:sz w:val="22"/>
              </w:rPr>
              <w:t>Blackboard.</w:t>
            </w:r>
          </w:p>
          <w:p w:rsidR="00ED4DB3" w:rsidRPr="00565BF1" w:rsidRDefault="00ED4DB3" w:rsidP="00565BF1">
            <w:pPr>
              <w:spacing w:afterLines="60" w:after="144"/>
              <w:rPr>
                <w:rFonts w:asciiTheme="minorHAnsi" w:hAnsiTheme="minorHAnsi"/>
                <w:b/>
                <w:color w:val="000000" w:themeColor="text1"/>
                <w:sz w:val="22"/>
              </w:rPr>
            </w:pPr>
            <w:r w:rsidRPr="009E3B1B">
              <w:rPr>
                <w:rFonts w:asciiTheme="minorHAnsi" w:hAnsiTheme="minorHAnsi"/>
                <w:color w:val="000000" w:themeColor="text1"/>
                <w:sz w:val="22"/>
              </w:rPr>
              <w:t xml:space="preserve">Renew licence for Textwall app that facilitates </w:t>
            </w:r>
            <w:r w:rsidR="008C564A">
              <w:rPr>
                <w:rFonts w:asciiTheme="minorHAnsi" w:hAnsiTheme="minorHAnsi"/>
                <w:b/>
                <w:color w:val="000000" w:themeColor="text1"/>
                <w:sz w:val="22"/>
              </w:rPr>
              <w:t xml:space="preserve">communication </w:t>
            </w:r>
            <w:r w:rsidR="008C564A">
              <w:rPr>
                <w:rFonts w:asciiTheme="minorHAnsi" w:hAnsiTheme="minorHAnsi"/>
                <w:color w:val="000000" w:themeColor="text1"/>
                <w:sz w:val="22"/>
              </w:rPr>
              <w:t xml:space="preserve">between students and </w:t>
            </w:r>
            <w:r w:rsidRPr="009E3B1B">
              <w:rPr>
                <w:rFonts w:asciiTheme="minorHAnsi" w:hAnsiTheme="minorHAnsi"/>
                <w:color w:val="000000" w:themeColor="text1"/>
                <w:sz w:val="22"/>
              </w:rPr>
              <w:t>lecturers and MCQ voting during teaching.</w:t>
            </w:r>
            <w:r w:rsidR="00565BF1">
              <w:rPr>
                <w:rFonts w:asciiTheme="minorHAnsi" w:hAnsiTheme="minorHAnsi"/>
                <w:color w:val="000000" w:themeColor="text1"/>
                <w:sz w:val="22"/>
              </w:rPr>
              <w:t xml:space="preserve"> Interactivity is perceived to contributes to </w:t>
            </w:r>
            <w:r w:rsidR="00565BF1">
              <w:rPr>
                <w:rFonts w:asciiTheme="minorHAnsi" w:hAnsiTheme="minorHAnsi"/>
                <w:b/>
                <w:color w:val="000000" w:themeColor="text1"/>
                <w:sz w:val="22"/>
              </w:rPr>
              <w:t>teaching quality.</w:t>
            </w:r>
          </w:p>
        </w:tc>
        <w:tc>
          <w:tcPr>
            <w:tcW w:w="1786" w:type="dxa"/>
          </w:tcPr>
          <w:p w:rsidR="006A2272" w:rsidRPr="009E3B1B" w:rsidRDefault="006A2272" w:rsidP="00802641">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lastRenderedPageBreak/>
              <w:t>Associate Dean (Education), LTA Development day presenters</w:t>
            </w:r>
          </w:p>
        </w:tc>
        <w:tc>
          <w:tcPr>
            <w:tcW w:w="992"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6A2272" w:rsidRPr="00D85FA9" w:rsidRDefault="006A2272"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Faculty funding for LTA development day catering</w:t>
            </w:r>
          </w:p>
          <w:p w:rsidR="00ED4DB3" w:rsidRPr="00D85FA9" w:rsidRDefault="00ED4DB3"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£700 Textwall licence</w:t>
            </w:r>
          </w:p>
          <w:p w:rsidR="00ED4DB3" w:rsidRPr="009E3B1B" w:rsidRDefault="00ED4DB3" w:rsidP="00D85FA9">
            <w:pPr>
              <w:pStyle w:val="ListParagraph"/>
              <w:spacing w:afterLines="60" w:after="144"/>
              <w:ind w:left="0"/>
              <w:rPr>
                <w:rFonts w:asciiTheme="minorHAnsi" w:hAnsiTheme="minorHAnsi"/>
                <w:color w:val="000000" w:themeColor="text1"/>
                <w:sz w:val="22"/>
              </w:rPr>
            </w:pPr>
          </w:p>
        </w:tc>
      </w:tr>
      <w:tr w:rsidR="006A2272" w:rsidRPr="000051C1" w:rsidTr="00D85FA9">
        <w:tc>
          <w:tcPr>
            <w:tcW w:w="534" w:type="dxa"/>
          </w:tcPr>
          <w:p w:rsidR="006A2272" w:rsidRPr="009E3B1B" w:rsidRDefault="006A2272"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lastRenderedPageBreak/>
              <w:t>4</w:t>
            </w:r>
          </w:p>
        </w:tc>
        <w:tc>
          <w:tcPr>
            <w:tcW w:w="3543"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Create an expectations agreement, which is set up between LJMU and placement providers, and one between students and staff.</w:t>
            </w:r>
          </w:p>
        </w:tc>
        <w:tc>
          <w:tcPr>
            <w:tcW w:w="4820"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Code of Practice for placement learning already includes an expectations agreement</w:t>
            </w:r>
            <w:r w:rsidRPr="009E3B1B">
              <w:rPr>
                <w:rFonts w:asciiTheme="minorHAnsi" w:hAnsiTheme="minorHAnsi"/>
                <w:sz w:val="22"/>
              </w:rPr>
              <w:t>.</w:t>
            </w:r>
          </w:p>
          <w:p w:rsidR="006A2272"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Refer possibility of a student and staff expectations agreement to LTDG.</w:t>
            </w:r>
          </w:p>
          <w:p w:rsidR="00AB5CD9" w:rsidRPr="00AB5CD9" w:rsidRDefault="00AB5CD9" w:rsidP="00565BF1">
            <w:pPr>
              <w:spacing w:afterLines="60" w:after="144"/>
              <w:rPr>
                <w:rFonts w:asciiTheme="minorHAnsi" w:hAnsiTheme="minorHAnsi"/>
                <w:color w:val="000000" w:themeColor="text1"/>
                <w:sz w:val="22"/>
              </w:rPr>
            </w:pPr>
            <w:r>
              <w:rPr>
                <w:rFonts w:asciiTheme="minorHAnsi" w:hAnsiTheme="minorHAnsi"/>
                <w:b/>
                <w:color w:val="000000" w:themeColor="text1"/>
                <w:sz w:val="22"/>
              </w:rPr>
              <w:t xml:space="preserve">Teaching </w:t>
            </w:r>
            <w:r w:rsidR="00565BF1">
              <w:rPr>
                <w:rFonts w:asciiTheme="minorHAnsi" w:hAnsiTheme="minorHAnsi"/>
                <w:b/>
                <w:color w:val="000000" w:themeColor="text1"/>
                <w:sz w:val="22"/>
              </w:rPr>
              <w:t>q</w:t>
            </w:r>
            <w:r>
              <w:rPr>
                <w:rFonts w:asciiTheme="minorHAnsi" w:hAnsiTheme="minorHAnsi"/>
                <w:b/>
                <w:color w:val="000000" w:themeColor="text1"/>
                <w:sz w:val="22"/>
              </w:rPr>
              <w:t>u</w:t>
            </w:r>
            <w:r w:rsidR="00953700">
              <w:rPr>
                <w:rFonts w:asciiTheme="minorHAnsi" w:hAnsiTheme="minorHAnsi"/>
                <w:b/>
                <w:color w:val="000000" w:themeColor="text1"/>
                <w:sz w:val="22"/>
              </w:rPr>
              <w:t>a</w:t>
            </w:r>
            <w:r>
              <w:rPr>
                <w:rFonts w:asciiTheme="minorHAnsi" w:hAnsiTheme="minorHAnsi"/>
                <w:b/>
                <w:color w:val="000000" w:themeColor="text1"/>
                <w:sz w:val="22"/>
              </w:rPr>
              <w:t xml:space="preserve">lity </w:t>
            </w:r>
            <w:r>
              <w:rPr>
                <w:rFonts w:asciiTheme="minorHAnsi" w:hAnsiTheme="minorHAnsi"/>
                <w:color w:val="000000" w:themeColor="text1"/>
                <w:sz w:val="22"/>
              </w:rPr>
              <w:t xml:space="preserve">and </w:t>
            </w:r>
            <w:r w:rsidR="00565BF1">
              <w:rPr>
                <w:rFonts w:asciiTheme="minorHAnsi" w:hAnsiTheme="minorHAnsi"/>
                <w:b/>
                <w:color w:val="000000" w:themeColor="text1"/>
                <w:sz w:val="22"/>
              </w:rPr>
              <w:t>p</w:t>
            </w:r>
            <w:r>
              <w:rPr>
                <w:rFonts w:asciiTheme="minorHAnsi" w:hAnsiTheme="minorHAnsi"/>
                <w:b/>
                <w:color w:val="000000" w:themeColor="text1"/>
                <w:sz w:val="22"/>
              </w:rPr>
              <w:t xml:space="preserve">ersonal </w:t>
            </w:r>
            <w:r w:rsidR="00565BF1">
              <w:rPr>
                <w:rFonts w:asciiTheme="minorHAnsi" w:hAnsiTheme="minorHAnsi"/>
                <w:b/>
                <w:color w:val="000000" w:themeColor="text1"/>
                <w:sz w:val="22"/>
              </w:rPr>
              <w:t>t</w:t>
            </w:r>
            <w:r>
              <w:rPr>
                <w:rFonts w:asciiTheme="minorHAnsi" w:hAnsiTheme="minorHAnsi"/>
                <w:b/>
                <w:color w:val="000000" w:themeColor="text1"/>
                <w:sz w:val="22"/>
              </w:rPr>
              <w:t>utors</w:t>
            </w:r>
            <w:r>
              <w:rPr>
                <w:rFonts w:asciiTheme="minorHAnsi" w:hAnsiTheme="minorHAnsi"/>
                <w:color w:val="000000" w:themeColor="text1"/>
                <w:sz w:val="22"/>
              </w:rPr>
              <w:t xml:space="preserve"> to form topics of focus groups to be organised by Faculty and LiverpoolSU.</w:t>
            </w:r>
          </w:p>
        </w:tc>
        <w:tc>
          <w:tcPr>
            <w:tcW w:w="1786" w:type="dxa"/>
          </w:tcPr>
          <w:p w:rsidR="006A2272" w:rsidRPr="009E3B1B" w:rsidRDefault="006A2272"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LTDG</w:t>
            </w:r>
          </w:p>
        </w:tc>
        <w:tc>
          <w:tcPr>
            <w:tcW w:w="992"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6A2272" w:rsidRPr="00D85FA9" w:rsidRDefault="006A2272"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LTDG</w:t>
            </w:r>
            <w:r w:rsidR="00AB5CD9">
              <w:rPr>
                <w:rFonts w:asciiTheme="minorHAnsi" w:hAnsiTheme="minorHAnsi"/>
                <w:color w:val="000000" w:themeColor="text1"/>
                <w:sz w:val="22"/>
              </w:rPr>
              <w:t>, Liverpool SU</w:t>
            </w:r>
          </w:p>
        </w:tc>
      </w:tr>
      <w:tr w:rsidR="006A2272" w:rsidRPr="000051C1" w:rsidTr="00D85FA9">
        <w:tc>
          <w:tcPr>
            <w:tcW w:w="534" w:type="dxa"/>
          </w:tcPr>
          <w:p w:rsidR="006A2272" w:rsidRPr="009E3B1B" w:rsidRDefault="006A2272"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5</w:t>
            </w:r>
          </w:p>
        </w:tc>
        <w:tc>
          <w:tcPr>
            <w:tcW w:w="3543"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Carry out an audit to ensure that all courses at LJMU meet the agreed student staff ratio for LJMU, and where they don’t, look to see what can be done to improve this.</w:t>
            </w:r>
          </w:p>
        </w:tc>
        <w:tc>
          <w:tcPr>
            <w:tcW w:w="4820" w:type="dxa"/>
          </w:tcPr>
          <w:p w:rsidR="006A2272" w:rsidRPr="009E3B1B" w:rsidRDefault="002034E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Applies to entire </w:t>
            </w:r>
            <w:r w:rsidR="006A2272" w:rsidRPr="009E3B1B">
              <w:rPr>
                <w:rFonts w:asciiTheme="minorHAnsi" w:hAnsiTheme="minorHAnsi"/>
                <w:color w:val="000000" w:themeColor="text1"/>
                <w:sz w:val="22"/>
              </w:rPr>
              <w:t xml:space="preserve">institution </w:t>
            </w:r>
            <w:r w:rsidRPr="009E3B1B">
              <w:rPr>
                <w:rFonts w:asciiTheme="minorHAnsi" w:hAnsiTheme="minorHAnsi"/>
                <w:color w:val="000000" w:themeColor="text1"/>
                <w:sz w:val="22"/>
              </w:rPr>
              <w:t xml:space="preserve">so refer </w:t>
            </w:r>
            <w:r w:rsidR="006A2272" w:rsidRPr="009E3B1B">
              <w:rPr>
                <w:rFonts w:asciiTheme="minorHAnsi" w:hAnsiTheme="minorHAnsi"/>
                <w:color w:val="000000" w:themeColor="text1"/>
                <w:sz w:val="22"/>
              </w:rPr>
              <w:t xml:space="preserve"> to LTDG</w:t>
            </w:r>
          </w:p>
        </w:tc>
        <w:tc>
          <w:tcPr>
            <w:tcW w:w="1786" w:type="dxa"/>
          </w:tcPr>
          <w:p w:rsidR="006A2272" w:rsidRPr="009E3B1B" w:rsidRDefault="006A2272"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LTDG</w:t>
            </w:r>
          </w:p>
        </w:tc>
        <w:tc>
          <w:tcPr>
            <w:tcW w:w="992" w:type="dxa"/>
          </w:tcPr>
          <w:p w:rsidR="006A2272" w:rsidRPr="009E3B1B" w:rsidRDefault="006A2272"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6A2272" w:rsidRPr="00D85FA9" w:rsidRDefault="006A2272"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LTDG</w:t>
            </w:r>
          </w:p>
        </w:tc>
      </w:tr>
      <w:tr w:rsidR="003139BD" w:rsidRPr="000051C1" w:rsidTr="00D85FA9">
        <w:tc>
          <w:tcPr>
            <w:tcW w:w="534" w:type="dxa"/>
          </w:tcPr>
          <w:p w:rsidR="003139BD" w:rsidRPr="009E3B1B" w:rsidRDefault="003139BD"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6</w:t>
            </w:r>
          </w:p>
        </w:tc>
        <w:tc>
          <w:tcPr>
            <w:tcW w:w="3543"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Carry out an audit at school level to determine the level of demand for specific learning resources, and the access and availability of these for students.</w:t>
            </w:r>
          </w:p>
        </w:tc>
        <w:tc>
          <w:tcPr>
            <w:tcW w:w="4820" w:type="dxa"/>
          </w:tcPr>
          <w:p w:rsidR="003139BD" w:rsidRPr="009E3B1B" w:rsidRDefault="00570419" w:rsidP="009E3B1B">
            <w:pPr>
              <w:spacing w:afterLines="60" w:after="144"/>
              <w:rPr>
                <w:rFonts w:asciiTheme="minorHAnsi" w:hAnsiTheme="minorHAnsi"/>
                <w:color w:val="000000" w:themeColor="text1"/>
                <w:sz w:val="22"/>
              </w:rPr>
            </w:pPr>
            <w:r>
              <w:rPr>
                <w:rFonts w:asciiTheme="minorHAnsi" w:hAnsiTheme="minorHAnsi"/>
                <w:color w:val="000000" w:themeColor="text1"/>
                <w:sz w:val="22"/>
              </w:rPr>
              <w:t xml:space="preserve">Audit of </w:t>
            </w:r>
            <w:r>
              <w:rPr>
                <w:rFonts w:asciiTheme="minorHAnsi" w:hAnsiTheme="minorHAnsi"/>
                <w:b/>
                <w:color w:val="000000" w:themeColor="text1"/>
                <w:sz w:val="22"/>
              </w:rPr>
              <w:t xml:space="preserve">IT access and suitability </w:t>
            </w:r>
            <w:r>
              <w:rPr>
                <w:rFonts w:asciiTheme="minorHAnsi" w:hAnsiTheme="minorHAnsi"/>
                <w:color w:val="000000" w:themeColor="text1"/>
                <w:sz w:val="22"/>
              </w:rPr>
              <w:t>would</w:t>
            </w:r>
            <w:r w:rsidR="007A4BBE" w:rsidRPr="009E3B1B">
              <w:rPr>
                <w:rFonts w:asciiTheme="minorHAnsi" w:hAnsiTheme="minorHAnsi"/>
                <w:color w:val="000000" w:themeColor="text1"/>
                <w:sz w:val="22"/>
              </w:rPr>
              <w:t xml:space="preserve"> require a survey of students therefore refer to LTDG.</w:t>
            </w:r>
          </w:p>
        </w:tc>
        <w:tc>
          <w:tcPr>
            <w:tcW w:w="1786" w:type="dxa"/>
          </w:tcPr>
          <w:p w:rsidR="003139BD" w:rsidRPr="009E3B1B" w:rsidRDefault="007A4BBE"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LTDG</w:t>
            </w:r>
          </w:p>
        </w:tc>
        <w:tc>
          <w:tcPr>
            <w:tcW w:w="992"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3139BD" w:rsidRPr="00D85FA9" w:rsidRDefault="007A4BBE"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LTDG</w:t>
            </w:r>
          </w:p>
        </w:tc>
      </w:tr>
      <w:tr w:rsidR="003139BD" w:rsidRPr="000051C1" w:rsidTr="00D85FA9">
        <w:tc>
          <w:tcPr>
            <w:tcW w:w="534" w:type="dxa"/>
          </w:tcPr>
          <w:p w:rsidR="003139BD" w:rsidRPr="009E3B1B" w:rsidRDefault="003139BD"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7</w:t>
            </w:r>
          </w:p>
        </w:tc>
        <w:tc>
          <w:tcPr>
            <w:tcW w:w="3543"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Personal Tutor slots to be identified after students’ deadlines are set, to fit in with when support is most needed.</w:t>
            </w:r>
          </w:p>
        </w:tc>
        <w:tc>
          <w:tcPr>
            <w:tcW w:w="4820"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Posters on office doors should be used </w:t>
            </w:r>
            <w:r w:rsidR="008B0F85">
              <w:rPr>
                <w:rFonts w:asciiTheme="minorHAnsi" w:hAnsiTheme="minorHAnsi"/>
                <w:color w:val="000000" w:themeColor="text1"/>
                <w:sz w:val="22"/>
              </w:rPr>
              <w:t>in the</w:t>
            </w:r>
            <w:r w:rsidR="00612375">
              <w:rPr>
                <w:rFonts w:asciiTheme="minorHAnsi" w:hAnsiTheme="minorHAnsi"/>
                <w:color w:val="000000" w:themeColor="text1"/>
                <w:sz w:val="22"/>
              </w:rPr>
              <w:t xml:space="preserve"> </w:t>
            </w:r>
            <w:r w:rsidR="00612375">
              <w:rPr>
                <w:rFonts w:asciiTheme="minorHAnsi" w:hAnsiTheme="minorHAnsi"/>
                <w:b/>
                <w:color w:val="000000" w:themeColor="text1"/>
                <w:sz w:val="22"/>
              </w:rPr>
              <w:t xml:space="preserve">communication </w:t>
            </w:r>
            <w:r w:rsidR="00612375">
              <w:rPr>
                <w:rFonts w:asciiTheme="minorHAnsi" w:hAnsiTheme="minorHAnsi"/>
                <w:color w:val="000000" w:themeColor="text1"/>
                <w:sz w:val="22"/>
              </w:rPr>
              <w:t>to</w:t>
            </w:r>
            <w:r w:rsidRPr="009E3B1B">
              <w:rPr>
                <w:rFonts w:asciiTheme="minorHAnsi" w:hAnsiTheme="minorHAnsi"/>
                <w:color w:val="000000" w:themeColor="text1"/>
                <w:sz w:val="22"/>
              </w:rPr>
              <w:t xml:space="preserve"> students</w:t>
            </w:r>
            <w:r w:rsidR="00612375">
              <w:rPr>
                <w:rFonts w:asciiTheme="minorHAnsi" w:hAnsiTheme="minorHAnsi"/>
                <w:color w:val="000000" w:themeColor="text1"/>
                <w:sz w:val="22"/>
              </w:rPr>
              <w:t xml:space="preserve"> of</w:t>
            </w:r>
            <w:r w:rsidRPr="009E3B1B">
              <w:rPr>
                <w:rFonts w:asciiTheme="minorHAnsi" w:hAnsiTheme="minorHAnsi"/>
                <w:color w:val="000000" w:themeColor="text1"/>
                <w:sz w:val="22"/>
              </w:rPr>
              <w:t xml:space="preserve"> the best slots for meetings with Personal Tutors.</w:t>
            </w:r>
          </w:p>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Four hours of availability per week for FT Personal Tutors should be displayed in 2014/15.</w:t>
            </w:r>
          </w:p>
        </w:tc>
        <w:tc>
          <w:tcPr>
            <w:tcW w:w="1786" w:type="dxa"/>
          </w:tcPr>
          <w:p w:rsidR="003139BD" w:rsidRPr="009E3B1B" w:rsidRDefault="003139BD"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Associate Dean (Education), Associate Dean (Quality),</w:t>
            </w:r>
          </w:p>
        </w:tc>
        <w:tc>
          <w:tcPr>
            <w:tcW w:w="992"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3139BD" w:rsidRPr="00D85FA9" w:rsidRDefault="003139BD"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Clipframes: N/A (£750  from last year’s allocation)</w:t>
            </w:r>
          </w:p>
        </w:tc>
      </w:tr>
      <w:tr w:rsidR="003139BD" w:rsidRPr="000051C1" w:rsidTr="00D85FA9">
        <w:tc>
          <w:tcPr>
            <w:tcW w:w="534" w:type="dxa"/>
          </w:tcPr>
          <w:p w:rsidR="003139BD" w:rsidRPr="009E3B1B" w:rsidRDefault="003139BD"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lastRenderedPageBreak/>
              <w:t>8</w:t>
            </w:r>
          </w:p>
        </w:tc>
        <w:tc>
          <w:tcPr>
            <w:tcW w:w="3543"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Dedicated assignment guidance should be offered in induction, where first years are supported with the transition into Higher Education, and further years are refreshed and supported with their transition through University.</w:t>
            </w:r>
          </w:p>
        </w:tc>
        <w:tc>
          <w:tcPr>
            <w:tcW w:w="4820"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Associate Dean (Education) to </w:t>
            </w:r>
            <w:r w:rsidR="00A92C6E">
              <w:rPr>
                <w:rFonts w:asciiTheme="minorHAnsi" w:hAnsiTheme="minorHAnsi"/>
                <w:color w:val="000000" w:themeColor="text1"/>
                <w:sz w:val="22"/>
              </w:rPr>
              <w:t>confirm</w:t>
            </w:r>
            <w:r w:rsidRPr="009E3B1B">
              <w:rPr>
                <w:rFonts w:asciiTheme="minorHAnsi" w:hAnsiTheme="minorHAnsi"/>
                <w:color w:val="000000" w:themeColor="text1"/>
                <w:sz w:val="22"/>
              </w:rPr>
              <w:t xml:space="preserve"> that assignment guidance is included in all UG inductions.</w:t>
            </w:r>
          </w:p>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Faculty already offers assignment guidance as part of a </w:t>
            </w:r>
            <w:r w:rsidR="00AF2208" w:rsidRPr="009E3B1B">
              <w:rPr>
                <w:rFonts w:asciiTheme="minorHAnsi" w:hAnsiTheme="minorHAnsi"/>
                <w:color w:val="000000" w:themeColor="text1"/>
                <w:sz w:val="22"/>
              </w:rPr>
              <w:t xml:space="preserve">Faculty </w:t>
            </w:r>
            <w:r w:rsidRPr="009E3B1B">
              <w:rPr>
                <w:rFonts w:asciiTheme="minorHAnsi" w:hAnsiTheme="minorHAnsi"/>
                <w:color w:val="000000" w:themeColor="text1"/>
                <w:sz w:val="22"/>
              </w:rPr>
              <w:t xml:space="preserve">core </w:t>
            </w:r>
            <w:hyperlink r:id="rId15" w:history="1">
              <w:r w:rsidRPr="009E3B1B">
                <w:rPr>
                  <w:rStyle w:val="Hyperlink"/>
                  <w:rFonts w:asciiTheme="minorHAnsi" w:hAnsiTheme="minorHAnsi"/>
                  <w:sz w:val="22"/>
                </w:rPr>
                <w:t>tutorial</w:t>
              </w:r>
            </w:hyperlink>
            <w:r w:rsidRPr="009E3B1B">
              <w:rPr>
                <w:rFonts w:asciiTheme="minorHAnsi" w:hAnsiTheme="minorHAnsi"/>
                <w:color w:val="000000" w:themeColor="text1"/>
                <w:sz w:val="22"/>
              </w:rPr>
              <w:t xml:space="preserve"> in Semester 1 of </w:t>
            </w:r>
            <w:r w:rsidR="00AF2208" w:rsidRPr="009E3B1B">
              <w:rPr>
                <w:rFonts w:asciiTheme="minorHAnsi" w:hAnsiTheme="minorHAnsi"/>
                <w:color w:val="000000" w:themeColor="text1"/>
                <w:sz w:val="22"/>
              </w:rPr>
              <w:t>Level 4</w:t>
            </w:r>
            <w:r w:rsidRPr="009E3B1B">
              <w:rPr>
                <w:rFonts w:asciiTheme="minorHAnsi" w:hAnsiTheme="minorHAnsi"/>
                <w:color w:val="000000" w:themeColor="text1"/>
                <w:sz w:val="22"/>
              </w:rPr>
              <w:t xml:space="preserve">.  </w:t>
            </w:r>
          </w:p>
          <w:p w:rsidR="00D60AD1" w:rsidRPr="009E3B1B" w:rsidRDefault="003139BD" w:rsidP="00D60AD1">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Faculty already offers a </w:t>
            </w:r>
            <w:hyperlink r:id="rId16" w:history="1">
              <w:r w:rsidRPr="00D60AD1">
                <w:rPr>
                  <w:rStyle w:val="Hyperlink"/>
                  <w:rFonts w:asciiTheme="minorHAnsi" w:hAnsiTheme="minorHAnsi"/>
                  <w:b/>
                  <w:sz w:val="22"/>
                </w:rPr>
                <w:t>Feedback</w:t>
              </w:r>
              <w:r w:rsidRPr="009E3B1B">
                <w:rPr>
                  <w:rStyle w:val="Hyperlink"/>
                  <w:rFonts w:asciiTheme="minorHAnsi" w:hAnsiTheme="minorHAnsi"/>
                  <w:sz w:val="22"/>
                </w:rPr>
                <w:t xml:space="preserve"> Tutorial</w:t>
              </w:r>
            </w:hyperlink>
            <w:r w:rsidRPr="009E3B1B">
              <w:rPr>
                <w:rFonts w:asciiTheme="minorHAnsi" w:hAnsiTheme="minorHAnsi"/>
                <w:color w:val="000000" w:themeColor="text1"/>
                <w:sz w:val="22"/>
              </w:rPr>
              <w:t xml:space="preserve"> for programmes.</w:t>
            </w:r>
          </w:p>
        </w:tc>
        <w:tc>
          <w:tcPr>
            <w:tcW w:w="1786" w:type="dxa"/>
          </w:tcPr>
          <w:p w:rsidR="003139BD" w:rsidRPr="009E3B1B" w:rsidRDefault="003139BD"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Associate Dean (Education)</w:t>
            </w:r>
          </w:p>
        </w:tc>
        <w:tc>
          <w:tcPr>
            <w:tcW w:w="992"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2014/15</w:t>
            </w:r>
          </w:p>
        </w:tc>
        <w:tc>
          <w:tcPr>
            <w:tcW w:w="2438" w:type="dxa"/>
          </w:tcPr>
          <w:p w:rsidR="003139BD" w:rsidRPr="00D85FA9" w:rsidRDefault="003139BD"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N/A</w:t>
            </w:r>
          </w:p>
        </w:tc>
      </w:tr>
      <w:tr w:rsidR="003139BD" w:rsidRPr="000051C1" w:rsidTr="00D85FA9">
        <w:tc>
          <w:tcPr>
            <w:tcW w:w="534" w:type="dxa"/>
          </w:tcPr>
          <w:p w:rsidR="003139BD" w:rsidRPr="009E3B1B" w:rsidRDefault="003139BD"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9</w:t>
            </w:r>
          </w:p>
        </w:tc>
        <w:tc>
          <w:tcPr>
            <w:tcW w:w="3543" w:type="dxa"/>
          </w:tcPr>
          <w:p w:rsidR="003139BD" w:rsidRPr="009E3B1B" w:rsidRDefault="003139B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Explore the possibility for all students to be offered the option to have their timetable available through their University email.</w:t>
            </w:r>
          </w:p>
        </w:tc>
        <w:tc>
          <w:tcPr>
            <w:tcW w:w="4820" w:type="dxa"/>
          </w:tcPr>
          <w:p w:rsidR="007C30AD" w:rsidRPr="009E3B1B" w:rsidRDefault="007C30AD"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The Faculty does not have admin resources to adopt the system used in Architecture.</w:t>
            </w:r>
          </w:p>
          <w:p w:rsidR="003139BD" w:rsidRPr="009E3B1B" w:rsidRDefault="009E3B1B"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As acknowledged, i</w:t>
            </w:r>
            <w:r w:rsidR="007C30AD" w:rsidRPr="009E3B1B">
              <w:rPr>
                <w:rFonts w:asciiTheme="minorHAnsi" w:hAnsiTheme="minorHAnsi"/>
                <w:color w:val="000000" w:themeColor="text1"/>
                <w:sz w:val="22"/>
              </w:rPr>
              <w:t xml:space="preserve">mprovements in </w:t>
            </w:r>
            <w:r w:rsidR="007C30AD" w:rsidRPr="009E3B1B">
              <w:rPr>
                <w:rFonts w:asciiTheme="minorHAnsi" w:hAnsiTheme="minorHAnsi"/>
                <w:b/>
                <w:color w:val="000000" w:themeColor="text1"/>
                <w:sz w:val="22"/>
              </w:rPr>
              <w:t>timetabling</w:t>
            </w:r>
            <w:r w:rsidR="007C30AD" w:rsidRPr="009E3B1B">
              <w:rPr>
                <w:rFonts w:asciiTheme="minorHAnsi" w:hAnsiTheme="minorHAnsi"/>
                <w:color w:val="000000" w:themeColor="text1"/>
                <w:sz w:val="22"/>
              </w:rPr>
              <w:t xml:space="preserve"> information are</w:t>
            </w:r>
            <w:r w:rsidR="003139BD" w:rsidRPr="009E3B1B">
              <w:rPr>
                <w:rFonts w:asciiTheme="minorHAnsi" w:hAnsiTheme="minorHAnsi"/>
                <w:color w:val="000000" w:themeColor="text1"/>
                <w:sz w:val="22"/>
              </w:rPr>
              <w:t xml:space="preserve"> under active consideration by the new Timetabling Steering Group.</w:t>
            </w:r>
          </w:p>
          <w:p w:rsidR="00B106F0" w:rsidRPr="009E3B1B" w:rsidRDefault="00B106F0"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The Faculty has an existing </w:t>
            </w:r>
            <w:hyperlink r:id="rId17" w:history="1">
              <w:r w:rsidRPr="009E3B1B">
                <w:rPr>
                  <w:rStyle w:val="Hyperlink"/>
                  <w:rFonts w:asciiTheme="minorHAnsi" w:hAnsiTheme="minorHAnsi"/>
                  <w:sz w:val="22"/>
                </w:rPr>
                <w:t>policy on the cancellation of classes</w:t>
              </w:r>
            </w:hyperlink>
            <w:r w:rsidRPr="009E3B1B">
              <w:rPr>
                <w:rFonts w:asciiTheme="minorHAnsi" w:hAnsiTheme="minorHAnsi"/>
                <w:color w:val="000000" w:themeColor="text1"/>
                <w:sz w:val="22"/>
              </w:rPr>
              <w:t xml:space="preserve"> that includes SMS </w:t>
            </w:r>
            <w:r w:rsidR="00612375" w:rsidRPr="00612375">
              <w:rPr>
                <w:rFonts w:asciiTheme="minorHAnsi" w:hAnsiTheme="minorHAnsi"/>
                <w:b/>
                <w:color w:val="000000" w:themeColor="text1"/>
                <w:sz w:val="22"/>
              </w:rPr>
              <w:t>communication</w:t>
            </w:r>
            <w:r w:rsidR="00612375">
              <w:rPr>
                <w:rFonts w:asciiTheme="minorHAnsi" w:hAnsiTheme="minorHAnsi"/>
                <w:color w:val="000000" w:themeColor="text1"/>
                <w:sz w:val="22"/>
              </w:rPr>
              <w:t xml:space="preserve"> </w:t>
            </w:r>
            <w:r w:rsidRPr="009E3B1B">
              <w:rPr>
                <w:rFonts w:asciiTheme="minorHAnsi" w:hAnsiTheme="minorHAnsi"/>
                <w:color w:val="000000" w:themeColor="text1"/>
                <w:sz w:val="22"/>
              </w:rPr>
              <w:t>alerts to affected students</w:t>
            </w:r>
            <w:r w:rsidR="00171635" w:rsidRPr="009E3B1B">
              <w:rPr>
                <w:rFonts w:asciiTheme="minorHAnsi" w:hAnsiTheme="minorHAnsi"/>
                <w:color w:val="000000" w:themeColor="text1"/>
                <w:sz w:val="22"/>
              </w:rPr>
              <w:t xml:space="preserve"> were </w:t>
            </w:r>
            <w:r w:rsidR="00171635" w:rsidRPr="009E3B1B">
              <w:rPr>
                <w:rFonts w:asciiTheme="minorHAnsi" w:hAnsiTheme="minorHAnsi"/>
                <w:b/>
                <w:color w:val="000000" w:themeColor="text1"/>
                <w:sz w:val="22"/>
              </w:rPr>
              <w:t>timetabling</w:t>
            </w:r>
            <w:r w:rsidR="00171635" w:rsidRPr="009E3B1B">
              <w:rPr>
                <w:rFonts w:asciiTheme="minorHAnsi" w:hAnsiTheme="minorHAnsi"/>
                <w:color w:val="000000" w:themeColor="text1"/>
                <w:sz w:val="22"/>
              </w:rPr>
              <w:t xml:space="preserve"> arrangements are changed at short notice</w:t>
            </w:r>
            <w:r w:rsidRPr="009E3B1B">
              <w:rPr>
                <w:rFonts w:asciiTheme="minorHAnsi" w:hAnsiTheme="minorHAnsi"/>
                <w:color w:val="000000" w:themeColor="text1"/>
                <w:sz w:val="22"/>
              </w:rPr>
              <w:t>.</w:t>
            </w:r>
          </w:p>
          <w:p w:rsidR="00171635" w:rsidRPr="009E3B1B" w:rsidRDefault="00171635"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Coursework schedules for all programmes were introduced in 2014/15 to give programme teams the information needed to minimise </w:t>
            </w:r>
            <w:r w:rsidRPr="009E3B1B">
              <w:rPr>
                <w:rFonts w:asciiTheme="minorHAnsi" w:hAnsiTheme="minorHAnsi"/>
                <w:b/>
                <w:color w:val="000000" w:themeColor="text1"/>
                <w:sz w:val="22"/>
              </w:rPr>
              <w:t>assessment bunching.</w:t>
            </w:r>
            <w:r w:rsidRPr="009E3B1B">
              <w:rPr>
                <w:rFonts w:asciiTheme="minorHAnsi" w:hAnsiTheme="minorHAnsi"/>
                <w:color w:val="000000" w:themeColor="text1"/>
                <w:sz w:val="22"/>
              </w:rPr>
              <w:t xml:space="preserve"> Some </w:t>
            </w:r>
            <w:r w:rsidR="00216EC7" w:rsidRPr="009E3B1B">
              <w:rPr>
                <w:rFonts w:asciiTheme="minorHAnsi" w:hAnsiTheme="minorHAnsi"/>
                <w:color w:val="000000" w:themeColor="text1"/>
                <w:sz w:val="22"/>
              </w:rPr>
              <w:t xml:space="preserve">assessment maps </w:t>
            </w:r>
            <w:r w:rsidRPr="009E3B1B">
              <w:rPr>
                <w:rFonts w:asciiTheme="minorHAnsi" w:hAnsiTheme="minorHAnsi"/>
                <w:color w:val="000000" w:themeColor="text1"/>
                <w:sz w:val="22"/>
              </w:rPr>
              <w:t xml:space="preserve"> were shared with students via emails. The success of this initiative will be reviewed at the end of </w:t>
            </w:r>
            <w:r w:rsidR="00216EC7" w:rsidRPr="009E3B1B">
              <w:rPr>
                <w:rFonts w:asciiTheme="minorHAnsi" w:hAnsiTheme="minorHAnsi"/>
                <w:color w:val="000000" w:themeColor="text1"/>
                <w:sz w:val="22"/>
              </w:rPr>
              <w:t>2014/15 but it has some merit as set/due dates are automatically extracted from module guides.</w:t>
            </w:r>
          </w:p>
        </w:tc>
        <w:tc>
          <w:tcPr>
            <w:tcW w:w="1786" w:type="dxa"/>
          </w:tcPr>
          <w:p w:rsidR="003139BD" w:rsidRPr="009E3B1B" w:rsidRDefault="003139BD"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Timetabling Steering Group</w:t>
            </w:r>
            <w:r w:rsidR="00171635" w:rsidRPr="009E3B1B">
              <w:rPr>
                <w:rFonts w:asciiTheme="minorHAnsi" w:hAnsiTheme="minorHAnsi"/>
                <w:color w:val="000000" w:themeColor="text1"/>
                <w:sz w:val="22"/>
              </w:rPr>
              <w:t>,</w:t>
            </w:r>
          </w:p>
          <w:p w:rsidR="00171635" w:rsidRPr="009E3B1B" w:rsidRDefault="00171635"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t>Associate Dean (Education),</w:t>
            </w:r>
          </w:p>
        </w:tc>
        <w:tc>
          <w:tcPr>
            <w:tcW w:w="992" w:type="dxa"/>
          </w:tcPr>
          <w:p w:rsidR="003139BD" w:rsidRPr="009E3B1B" w:rsidRDefault="00285B2B"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2015+</w:t>
            </w:r>
          </w:p>
        </w:tc>
        <w:tc>
          <w:tcPr>
            <w:tcW w:w="2438" w:type="dxa"/>
          </w:tcPr>
          <w:p w:rsidR="003139BD" w:rsidRPr="00D85FA9" w:rsidRDefault="00285B2B"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Timetabling Steering Group</w:t>
            </w:r>
          </w:p>
        </w:tc>
      </w:tr>
      <w:tr w:rsidR="003139BD" w:rsidRPr="000051C1" w:rsidTr="00D85FA9">
        <w:tc>
          <w:tcPr>
            <w:tcW w:w="534" w:type="dxa"/>
          </w:tcPr>
          <w:p w:rsidR="003139BD" w:rsidRPr="009E3B1B" w:rsidRDefault="00285B2B" w:rsidP="009E3B1B">
            <w:pPr>
              <w:spacing w:afterLines="60" w:after="144"/>
              <w:rPr>
                <w:rFonts w:asciiTheme="minorHAnsi" w:hAnsiTheme="minorHAnsi"/>
                <w:b/>
                <w:color w:val="000000" w:themeColor="text1"/>
                <w:sz w:val="22"/>
              </w:rPr>
            </w:pPr>
            <w:r w:rsidRPr="009E3B1B">
              <w:rPr>
                <w:rFonts w:asciiTheme="minorHAnsi" w:hAnsiTheme="minorHAnsi"/>
                <w:b/>
                <w:color w:val="000000" w:themeColor="text1"/>
                <w:sz w:val="22"/>
              </w:rPr>
              <w:t>10</w:t>
            </w:r>
          </w:p>
        </w:tc>
        <w:tc>
          <w:tcPr>
            <w:tcW w:w="3543" w:type="dxa"/>
          </w:tcPr>
          <w:p w:rsidR="003139BD" w:rsidRPr="009E3B1B" w:rsidRDefault="00285B2B"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Faculties look into ways they can introduce more ‘real life’ experience and opportunities within their programmes for students to develop </w:t>
            </w:r>
            <w:r w:rsidRPr="009E3B1B">
              <w:rPr>
                <w:rFonts w:asciiTheme="minorHAnsi" w:hAnsiTheme="minorHAnsi"/>
                <w:color w:val="000000" w:themeColor="text1"/>
                <w:sz w:val="22"/>
              </w:rPr>
              <w:lastRenderedPageBreak/>
              <w:t>their employability.</w:t>
            </w:r>
          </w:p>
        </w:tc>
        <w:tc>
          <w:tcPr>
            <w:tcW w:w="4820" w:type="dxa"/>
          </w:tcPr>
          <w:p w:rsidR="003139BD" w:rsidRPr="009E3B1B" w:rsidRDefault="00AF2208"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lastRenderedPageBreak/>
              <w:t xml:space="preserve">Core Faculty </w:t>
            </w:r>
            <w:hyperlink r:id="rId18" w:history="1">
              <w:r w:rsidRPr="009E3B1B">
                <w:rPr>
                  <w:rStyle w:val="Hyperlink"/>
                  <w:rFonts w:asciiTheme="minorHAnsi" w:hAnsiTheme="minorHAnsi"/>
                  <w:sz w:val="22"/>
                </w:rPr>
                <w:t>tutorial</w:t>
              </w:r>
            </w:hyperlink>
            <w:r w:rsidRPr="009E3B1B">
              <w:rPr>
                <w:rFonts w:asciiTheme="minorHAnsi" w:hAnsiTheme="minorHAnsi"/>
                <w:color w:val="000000" w:themeColor="text1"/>
                <w:sz w:val="22"/>
              </w:rPr>
              <w:t xml:space="preserve"> in Level 5 includes the exploration of potential </w:t>
            </w:r>
            <w:r w:rsidRPr="006E4CE4">
              <w:rPr>
                <w:rFonts w:asciiTheme="minorHAnsi" w:hAnsiTheme="minorHAnsi"/>
                <w:b/>
                <w:color w:val="000000" w:themeColor="text1"/>
                <w:sz w:val="22"/>
              </w:rPr>
              <w:t>placement</w:t>
            </w:r>
            <w:r w:rsidRPr="009E3B1B">
              <w:rPr>
                <w:rFonts w:asciiTheme="minorHAnsi" w:hAnsiTheme="minorHAnsi"/>
                <w:color w:val="000000" w:themeColor="text1"/>
                <w:sz w:val="22"/>
              </w:rPr>
              <w:t xml:space="preserve"> opportunities and explanation of associated procedures in Semester 2.</w:t>
            </w:r>
          </w:p>
          <w:p w:rsidR="00AF2208" w:rsidRPr="009E3B1B" w:rsidRDefault="00AF2208" w:rsidP="009E3B1B">
            <w:pPr>
              <w:spacing w:afterLines="60" w:after="144"/>
              <w:rPr>
                <w:rFonts w:asciiTheme="minorHAnsi" w:hAnsiTheme="minorHAnsi"/>
                <w:color w:val="000000" w:themeColor="text1"/>
                <w:sz w:val="22"/>
              </w:rPr>
            </w:pPr>
            <w:r w:rsidRPr="006E4CE4">
              <w:rPr>
                <w:rFonts w:asciiTheme="minorHAnsi" w:hAnsiTheme="minorHAnsi"/>
                <w:b/>
                <w:color w:val="000000" w:themeColor="text1"/>
                <w:sz w:val="22"/>
              </w:rPr>
              <w:lastRenderedPageBreak/>
              <w:t>Placement</w:t>
            </w:r>
            <w:r w:rsidRPr="009E3B1B">
              <w:rPr>
                <w:rFonts w:asciiTheme="minorHAnsi" w:hAnsiTheme="minorHAnsi"/>
                <w:color w:val="000000" w:themeColor="text1"/>
                <w:sz w:val="22"/>
              </w:rPr>
              <w:t xml:space="preserve"> support by the Faculty WOWSSU </w:t>
            </w:r>
            <w:r w:rsidR="00A92C6E">
              <w:rPr>
                <w:rFonts w:asciiTheme="minorHAnsi" w:hAnsiTheme="minorHAnsi"/>
                <w:color w:val="000000" w:themeColor="text1"/>
                <w:sz w:val="22"/>
              </w:rPr>
              <w:t xml:space="preserve">to be </w:t>
            </w:r>
            <w:r w:rsidRPr="009E3B1B">
              <w:rPr>
                <w:rFonts w:asciiTheme="minorHAnsi" w:hAnsiTheme="minorHAnsi"/>
                <w:color w:val="000000" w:themeColor="text1"/>
                <w:sz w:val="22"/>
              </w:rPr>
              <w:t>extended to all Schools</w:t>
            </w:r>
            <w:r w:rsidR="00A92C6E">
              <w:rPr>
                <w:rFonts w:asciiTheme="minorHAnsi" w:hAnsiTheme="minorHAnsi"/>
                <w:color w:val="000000" w:themeColor="text1"/>
                <w:sz w:val="22"/>
              </w:rPr>
              <w:t xml:space="preserve"> when staffing is place</w:t>
            </w:r>
            <w:r w:rsidRPr="009E3B1B">
              <w:rPr>
                <w:rFonts w:asciiTheme="minorHAnsi" w:hAnsiTheme="minorHAnsi"/>
                <w:color w:val="000000" w:themeColor="text1"/>
                <w:sz w:val="22"/>
              </w:rPr>
              <w:t>.</w:t>
            </w:r>
          </w:p>
          <w:p w:rsidR="00AF2208" w:rsidRPr="009E3B1B" w:rsidRDefault="00BF072B"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Onsite staff training in new Code of Practice for </w:t>
            </w:r>
            <w:r w:rsidRPr="006E4CE4">
              <w:rPr>
                <w:rFonts w:asciiTheme="minorHAnsi" w:hAnsiTheme="minorHAnsi"/>
                <w:b/>
                <w:color w:val="000000" w:themeColor="text1"/>
                <w:sz w:val="22"/>
              </w:rPr>
              <w:t>Placement</w:t>
            </w:r>
            <w:r w:rsidRPr="009E3B1B">
              <w:rPr>
                <w:rFonts w:asciiTheme="minorHAnsi" w:hAnsiTheme="minorHAnsi"/>
                <w:color w:val="000000" w:themeColor="text1"/>
                <w:sz w:val="22"/>
              </w:rPr>
              <w:t xml:space="preserve"> Learning</w:t>
            </w:r>
            <w:r w:rsidR="00A92C6E">
              <w:rPr>
                <w:rFonts w:asciiTheme="minorHAnsi" w:hAnsiTheme="minorHAnsi"/>
                <w:color w:val="000000" w:themeColor="text1"/>
                <w:sz w:val="22"/>
              </w:rPr>
              <w:t xml:space="preserve"> arranged</w:t>
            </w:r>
            <w:r w:rsidRPr="009E3B1B">
              <w:rPr>
                <w:rFonts w:asciiTheme="minorHAnsi" w:hAnsiTheme="minorHAnsi"/>
                <w:color w:val="000000" w:themeColor="text1"/>
                <w:sz w:val="22"/>
              </w:rPr>
              <w:t>.</w:t>
            </w:r>
          </w:p>
          <w:p w:rsidR="00BC7207" w:rsidRDefault="00BC7207"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t xml:space="preserve">Undertake review of practical content of </w:t>
            </w:r>
            <w:r w:rsidR="00960031" w:rsidRPr="009E3B1B">
              <w:rPr>
                <w:rFonts w:asciiTheme="minorHAnsi" w:hAnsiTheme="minorHAnsi"/>
                <w:color w:val="000000" w:themeColor="text1"/>
                <w:sz w:val="22"/>
              </w:rPr>
              <w:t xml:space="preserve">all </w:t>
            </w:r>
            <w:r w:rsidRPr="009E3B1B">
              <w:rPr>
                <w:rFonts w:asciiTheme="minorHAnsi" w:hAnsiTheme="minorHAnsi"/>
                <w:color w:val="000000" w:themeColor="text1"/>
                <w:sz w:val="22"/>
              </w:rPr>
              <w:t>STEM programmes</w:t>
            </w:r>
            <w:r w:rsidR="00960031" w:rsidRPr="009E3B1B">
              <w:rPr>
                <w:rFonts w:asciiTheme="minorHAnsi" w:hAnsiTheme="minorHAnsi"/>
                <w:color w:val="000000" w:themeColor="text1"/>
                <w:sz w:val="22"/>
              </w:rPr>
              <w:t xml:space="preserve"> and compare with peer </w:t>
            </w:r>
            <w:r w:rsidR="008B0F85" w:rsidRPr="009E3B1B">
              <w:rPr>
                <w:rFonts w:asciiTheme="minorHAnsi" w:hAnsiTheme="minorHAnsi"/>
                <w:color w:val="000000" w:themeColor="text1"/>
                <w:sz w:val="22"/>
              </w:rPr>
              <w:t>institutions</w:t>
            </w:r>
            <w:r w:rsidR="00960031" w:rsidRPr="009E3B1B">
              <w:rPr>
                <w:rFonts w:asciiTheme="minorHAnsi" w:hAnsiTheme="minorHAnsi"/>
                <w:color w:val="000000" w:themeColor="text1"/>
                <w:sz w:val="22"/>
              </w:rPr>
              <w:t>.</w:t>
            </w:r>
          </w:p>
          <w:p w:rsidR="00802641" w:rsidRDefault="00802641" w:rsidP="009E3B1B">
            <w:pPr>
              <w:spacing w:afterLines="60" w:after="144"/>
              <w:rPr>
                <w:rFonts w:asciiTheme="minorHAnsi" w:hAnsiTheme="minorHAnsi"/>
                <w:color w:val="000000" w:themeColor="text1"/>
                <w:sz w:val="22"/>
              </w:rPr>
            </w:pPr>
            <w:r>
              <w:rPr>
                <w:rFonts w:asciiTheme="minorHAnsi" w:hAnsiTheme="minorHAnsi"/>
                <w:color w:val="000000" w:themeColor="text1"/>
                <w:sz w:val="22"/>
              </w:rPr>
              <w:t>Employability support from WOWSSU to be extended to PGT students.</w:t>
            </w:r>
          </w:p>
          <w:p w:rsidR="00802641" w:rsidRPr="009E3B1B" w:rsidRDefault="00802641" w:rsidP="00802641">
            <w:pPr>
              <w:spacing w:afterLines="60" w:after="144"/>
              <w:rPr>
                <w:rFonts w:asciiTheme="minorHAnsi" w:hAnsiTheme="minorHAnsi"/>
                <w:color w:val="000000" w:themeColor="text1"/>
                <w:sz w:val="22"/>
              </w:rPr>
            </w:pPr>
            <w:r w:rsidRPr="00802641">
              <w:rPr>
                <w:rFonts w:asciiTheme="minorHAnsi" w:hAnsiTheme="minorHAnsi"/>
                <w:color w:val="000000" w:themeColor="text1"/>
                <w:sz w:val="22"/>
              </w:rPr>
              <w:t xml:space="preserve">School Directors to ensure that career and employability information is to be delivered to all final year undergraduate students </w:t>
            </w:r>
            <w:r>
              <w:rPr>
                <w:rFonts w:asciiTheme="minorHAnsi" w:hAnsiTheme="minorHAnsi"/>
                <w:color w:val="000000" w:themeColor="text1"/>
                <w:sz w:val="22"/>
              </w:rPr>
              <w:t xml:space="preserve">by </w:t>
            </w:r>
            <w:r w:rsidRPr="00802641">
              <w:rPr>
                <w:rFonts w:asciiTheme="minorHAnsi" w:hAnsiTheme="minorHAnsi"/>
                <w:color w:val="000000" w:themeColor="text1"/>
                <w:sz w:val="22"/>
              </w:rPr>
              <w:t xml:space="preserve">May 2015 </w:t>
            </w:r>
            <w:r>
              <w:rPr>
                <w:rFonts w:asciiTheme="minorHAnsi" w:hAnsiTheme="minorHAnsi"/>
                <w:color w:val="000000" w:themeColor="text1"/>
                <w:sz w:val="22"/>
              </w:rPr>
              <w:t xml:space="preserve">at the </w:t>
            </w:r>
            <w:r w:rsidRPr="00802641">
              <w:rPr>
                <w:rFonts w:asciiTheme="minorHAnsi" w:hAnsiTheme="minorHAnsi"/>
                <w:color w:val="000000" w:themeColor="text1"/>
                <w:sz w:val="22"/>
              </w:rPr>
              <w:t xml:space="preserve">latest, and by the end of December 2014 where this is feasible.  </w:t>
            </w:r>
          </w:p>
        </w:tc>
        <w:tc>
          <w:tcPr>
            <w:tcW w:w="1786" w:type="dxa"/>
          </w:tcPr>
          <w:p w:rsidR="003139BD" w:rsidRPr="009E3B1B" w:rsidRDefault="00285B2B"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lastRenderedPageBreak/>
              <w:t>Associate Dean (Education), Programme Leaders</w:t>
            </w:r>
            <w:r w:rsidR="00AF2208" w:rsidRPr="009E3B1B">
              <w:rPr>
                <w:rFonts w:asciiTheme="minorHAnsi" w:hAnsiTheme="minorHAnsi"/>
                <w:color w:val="000000" w:themeColor="text1"/>
                <w:sz w:val="22"/>
              </w:rPr>
              <w:t>,</w:t>
            </w:r>
          </w:p>
          <w:p w:rsidR="00AF2208" w:rsidRPr="009E3B1B" w:rsidRDefault="00AF2208" w:rsidP="009E3B1B">
            <w:pPr>
              <w:spacing w:afterLines="60" w:after="144"/>
              <w:ind w:left="34"/>
              <w:rPr>
                <w:rFonts w:asciiTheme="minorHAnsi" w:hAnsiTheme="minorHAnsi"/>
                <w:color w:val="000000" w:themeColor="text1"/>
                <w:sz w:val="22"/>
              </w:rPr>
            </w:pPr>
            <w:r w:rsidRPr="009E3B1B">
              <w:rPr>
                <w:rFonts w:asciiTheme="minorHAnsi" w:hAnsiTheme="minorHAnsi"/>
                <w:color w:val="000000" w:themeColor="text1"/>
                <w:sz w:val="22"/>
              </w:rPr>
              <w:lastRenderedPageBreak/>
              <w:t>Faculty Operations Manager</w:t>
            </w:r>
            <w:r w:rsidR="00BF072B" w:rsidRPr="009E3B1B">
              <w:rPr>
                <w:rFonts w:asciiTheme="minorHAnsi" w:hAnsiTheme="minorHAnsi"/>
                <w:color w:val="000000" w:themeColor="text1"/>
                <w:sz w:val="22"/>
              </w:rPr>
              <w:t>, WOWSSU Manager</w:t>
            </w:r>
            <w:r w:rsidR="00BC7207" w:rsidRPr="009E3B1B">
              <w:rPr>
                <w:rFonts w:asciiTheme="minorHAnsi" w:hAnsiTheme="minorHAnsi"/>
                <w:color w:val="000000" w:themeColor="text1"/>
                <w:sz w:val="22"/>
              </w:rPr>
              <w:t>, Faculty Registrar</w:t>
            </w:r>
            <w:r w:rsidR="00802641">
              <w:rPr>
                <w:rFonts w:asciiTheme="minorHAnsi" w:hAnsiTheme="minorHAnsi"/>
                <w:color w:val="000000" w:themeColor="text1"/>
                <w:sz w:val="22"/>
              </w:rPr>
              <w:t>, School Directors</w:t>
            </w:r>
          </w:p>
        </w:tc>
        <w:tc>
          <w:tcPr>
            <w:tcW w:w="992" w:type="dxa"/>
          </w:tcPr>
          <w:p w:rsidR="003139BD" w:rsidRPr="009E3B1B" w:rsidRDefault="00285B2B" w:rsidP="009E3B1B">
            <w:pPr>
              <w:spacing w:afterLines="60" w:after="144"/>
              <w:rPr>
                <w:rFonts w:asciiTheme="minorHAnsi" w:hAnsiTheme="minorHAnsi"/>
                <w:color w:val="000000" w:themeColor="text1"/>
                <w:sz w:val="22"/>
              </w:rPr>
            </w:pPr>
            <w:r w:rsidRPr="009E3B1B">
              <w:rPr>
                <w:rFonts w:asciiTheme="minorHAnsi" w:hAnsiTheme="minorHAnsi"/>
                <w:color w:val="000000" w:themeColor="text1"/>
                <w:sz w:val="22"/>
              </w:rPr>
              <w:lastRenderedPageBreak/>
              <w:t>2014/15</w:t>
            </w:r>
          </w:p>
        </w:tc>
        <w:tc>
          <w:tcPr>
            <w:tcW w:w="2438" w:type="dxa"/>
          </w:tcPr>
          <w:p w:rsidR="003139BD" w:rsidRPr="00D85FA9" w:rsidRDefault="00AF2208" w:rsidP="00D85FA9">
            <w:pPr>
              <w:spacing w:afterLines="60" w:after="144"/>
              <w:rPr>
                <w:rFonts w:asciiTheme="minorHAnsi" w:hAnsiTheme="minorHAnsi"/>
                <w:color w:val="000000" w:themeColor="text1"/>
                <w:sz w:val="22"/>
              </w:rPr>
            </w:pPr>
            <w:r w:rsidRPr="00D85FA9">
              <w:rPr>
                <w:rFonts w:asciiTheme="minorHAnsi" w:hAnsiTheme="minorHAnsi"/>
                <w:color w:val="000000" w:themeColor="text1"/>
                <w:sz w:val="22"/>
              </w:rPr>
              <w:t xml:space="preserve">Faculty </w:t>
            </w:r>
            <w:r w:rsidR="00285B2B" w:rsidRPr="00D85FA9">
              <w:rPr>
                <w:rFonts w:asciiTheme="minorHAnsi" w:hAnsiTheme="minorHAnsi"/>
                <w:color w:val="000000" w:themeColor="text1"/>
                <w:sz w:val="22"/>
              </w:rPr>
              <w:t>WOWSSU</w:t>
            </w:r>
          </w:p>
        </w:tc>
      </w:tr>
    </w:tbl>
    <w:p w:rsidR="00861B5B" w:rsidRPr="00861B5B" w:rsidRDefault="00861B5B" w:rsidP="00861B5B">
      <w:pPr>
        <w:tabs>
          <w:tab w:val="left" w:pos="1101"/>
          <w:tab w:val="left" w:pos="5070"/>
          <w:tab w:val="left" w:pos="7905"/>
          <w:tab w:val="left" w:pos="9266"/>
          <w:tab w:val="left" w:pos="10627"/>
          <w:tab w:val="left" w:pos="11619"/>
        </w:tabs>
        <w:rPr>
          <w:rFonts w:ascii="Calibri" w:hAnsi="Calibri"/>
          <w:color w:val="000000" w:themeColor="text1"/>
          <w:sz w:val="22"/>
        </w:rPr>
      </w:pPr>
      <w:r w:rsidRPr="00861B5B">
        <w:rPr>
          <w:rFonts w:ascii="Calibri" w:hAnsi="Calibri"/>
          <w:b/>
          <w:color w:val="000000" w:themeColor="text1"/>
          <w:sz w:val="22"/>
        </w:rPr>
        <w:lastRenderedPageBreak/>
        <w:tab/>
      </w:r>
      <w:r w:rsidRPr="00861B5B">
        <w:rPr>
          <w:rFonts w:asciiTheme="minorHAnsi" w:hAnsiTheme="minorHAnsi"/>
          <w:color w:val="000000" w:themeColor="text1"/>
          <w:sz w:val="22"/>
        </w:rPr>
        <w:tab/>
      </w:r>
      <w:r w:rsidRPr="00861B5B">
        <w:rPr>
          <w:rFonts w:ascii="Calibri" w:hAnsi="Calibri"/>
          <w:b/>
          <w:color w:val="000000" w:themeColor="text1"/>
          <w:sz w:val="22"/>
        </w:rPr>
        <w:tab/>
      </w:r>
      <w:r w:rsidRPr="00861B5B">
        <w:rPr>
          <w:rFonts w:ascii="Calibri" w:hAnsi="Calibri"/>
          <w:color w:val="000000" w:themeColor="text1"/>
          <w:sz w:val="22"/>
        </w:rPr>
        <w:tab/>
      </w:r>
      <w:r w:rsidRPr="00861B5B">
        <w:rPr>
          <w:rFonts w:ascii="Calibri" w:hAnsi="Calibri"/>
          <w:color w:val="000000" w:themeColor="text1"/>
          <w:sz w:val="22"/>
        </w:rPr>
        <w:tab/>
      </w:r>
      <w:r w:rsidRPr="00861B5B">
        <w:rPr>
          <w:rFonts w:ascii="Calibri" w:hAnsi="Calibri"/>
          <w:color w:val="000000" w:themeColor="text1"/>
          <w:sz w:val="22"/>
        </w:rPr>
        <w:tab/>
      </w:r>
    </w:p>
    <w:p w:rsidR="00842A91" w:rsidRDefault="00DE78A7" w:rsidP="00842A91">
      <w:pPr>
        <w:pStyle w:val="ListParagraph"/>
        <w:ind w:left="0"/>
        <w:rPr>
          <w:rFonts w:ascii="Calibri" w:hAnsi="Calibri"/>
          <w:b/>
          <w:color w:val="000000" w:themeColor="text1"/>
          <w:sz w:val="22"/>
        </w:rPr>
      </w:pPr>
      <w:r>
        <w:rPr>
          <w:rFonts w:ascii="Calibri" w:hAnsi="Calibri"/>
          <w:b/>
          <w:color w:val="000000" w:themeColor="text1"/>
          <w:sz w:val="22"/>
        </w:rPr>
        <w:t>Additional comments made at Faculty Quality Committee (FEC) 15/1/15</w:t>
      </w:r>
    </w:p>
    <w:p w:rsidR="00DE78A7" w:rsidRPr="00DE78A7" w:rsidRDefault="00DE78A7" w:rsidP="00DE78A7">
      <w:pPr>
        <w:pStyle w:val="ListParagraph"/>
        <w:rPr>
          <w:rFonts w:asciiTheme="minorHAnsi" w:hAnsiTheme="minorHAnsi"/>
        </w:rPr>
      </w:pPr>
      <w:r>
        <w:rPr>
          <w:rFonts w:asciiTheme="minorHAnsi" w:hAnsiTheme="minorHAnsi"/>
        </w:rPr>
        <w:t>The Committee</w:t>
      </w:r>
      <w:r w:rsidRPr="00DE78A7">
        <w:rPr>
          <w:rFonts w:asciiTheme="minorHAnsi" w:hAnsiTheme="minorHAnsi"/>
        </w:rPr>
        <w:t xml:space="preserve"> thanked LSU for producing this year’s report. Members felt that results from the FSVR do not always provide responses that are not already known to staff</w:t>
      </w:r>
      <w:r>
        <w:rPr>
          <w:rFonts w:asciiTheme="minorHAnsi" w:hAnsiTheme="minorHAnsi"/>
        </w:rPr>
        <w:t>. T</w:t>
      </w:r>
      <w:r w:rsidRPr="00DE78A7">
        <w:rPr>
          <w:rFonts w:asciiTheme="minorHAnsi" w:hAnsiTheme="minorHAnsi"/>
        </w:rPr>
        <w:t xml:space="preserve">he methodology </w:t>
      </w:r>
      <w:r>
        <w:rPr>
          <w:rFonts w:asciiTheme="minorHAnsi" w:hAnsiTheme="minorHAnsi"/>
        </w:rPr>
        <w:t>of the FSVR was also questioned although it was confirmed outside of the meeting that the number of SCS student involved was much greater than the 253 students noted in the report (of 7000 surveyed).</w:t>
      </w:r>
    </w:p>
    <w:p w:rsidR="00DE78A7" w:rsidRPr="00DE78A7" w:rsidRDefault="00DE78A7" w:rsidP="00DE78A7">
      <w:pPr>
        <w:pStyle w:val="ListParagraph"/>
        <w:rPr>
          <w:rFonts w:asciiTheme="minorHAnsi" w:hAnsiTheme="minorHAnsi"/>
        </w:rPr>
      </w:pPr>
    </w:p>
    <w:p w:rsidR="00DE78A7" w:rsidRPr="00DE78A7" w:rsidRDefault="00DE78A7" w:rsidP="00DE78A7">
      <w:pPr>
        <w:pStyle w:val="ListParagraph"/>
        <w:rPr>
          <w:rFonts w:asciiTheme="minorHAnsi" w:hAnsiTheme="minorHAnsi"/>
        </w:rPr>
      </w:pPr>
      <w:r w:rsidRPr="00DE78A7">
        <w:rPr>
          <w:rFonts w:asciiTheme="minorHAnsi" w:hAnsiTheme="minorHAnsi"/>
        </w:rPr>
        <w:t xml:space="preserve">FEC members did not like individual responses from students being labelled with the Programme details, as this </w:t>
      </w:r>
      <w:r>
        <w:rPr>
          <w:rFonts w:asciiTheme="minorHAnsi" w:hAnsiTheme="minorHAnsi"/>
        </w:rPr>
        <w:t>could be misrepresentative</w:t>
      </w:r>
      <w:r w:rsidRPr="00DE78A7">
        <w:rPr>
          <w:rFonts w:asciiTheme="minorHAnsi" w:hAnsiTheme="minorHAnsi"/>
        </w:rPr>
        <w:t xml:space="preserve">. In future, when publishing the report, staff would like the Faculty to be identified </w:t>
      </w:r>
      <w:r>
        <w:rPr>
          <w:rFonts w:asciiTheme="minorHAnsi" w:hAnsiTheme="minorHAnsi"/>
        </w:rPr>
        <w:t xml:space="preserve">but </w:t>
      </w:r>
      <w:r w:rsidRPr="00DE78A7">
        <w:rPr>
          <w:rFonts w:asciiTheme="minorHAnsi" w:hAnsiTheme="minorHAnsi"/>
        </w:rPr>
        <w:t xml:space="preserve">not the programme, raw data </w:t>
      </w:r>
      <w:r>
        <w:rPr>
          <w:rFonts w:asciiTheme="minorHAnsi" w:hAnsiTheme="minorHAnsi"/>
        </w:rPr>
        <w:t>being</w:t>
      </w:r>
      <w:r w:rsidRPr="00DE78A7">
        <w:rPr>
          <w:rFonts w:asciiTheme="minorHAnsi" w:hAnsiTheme="minorHAnsi"/>
        </w:rPr>
        <w:t xml:space="preserve"> made available elsewhere. </w:t>
      </w:r>
    </w:p>
    <w:p w:rsidR="00DE78A7" w:rsidRPr="00DE78A7" w:rsidRDefault="00DE78A7" w:rsidP="00DE78A7">
      <w:pPr>
        <w:pStyle w:val="ListParagraph"/>
        <w:rPr>
          <w:rFonts w:asciiTheme="minorHAnsi" w:hAnsiTheme="minorHAnsi"/>
        </w:rPr>
      </w:pPr>
    </w:p>
    <w:p w:rsidR="00DE78A7" w:rsidRPr="00DE78A7" w:rsidRDefault="00DE78A7" w:rsidP="00DE78A7">
      <w:pPr>
        <w:pStyle w:val="ListParagraph"/>
        <w:rPr>
          <w:rFonts w:asciiTheme="minorHAnsi" w:hAnsiTheme="minorHAnsi"/>
        </w:rPr>
      </w:pPr>
      <w:r w:rsidRPr="00DE78A7">
        <w:rPr>
          <w:rFonts w:asciiTheme="minorHAnsi" w:hAnsiTheme="minorHAnsi"/>
        </w:rPr>
        <w:t xml:space="preserve">Generally, FEC members felt the FSVR was a good exercise and the layout of the report was considered an improvement, with separate sections for each Faculty. </w:t>
      </w:r>
      <w:r>
        <w:rPr>
          <w:rFonts w:asciiTheme="minorHAnsi" w:hAnsiTheme="minorHAnsi"/>
        </w:rPr>
        <w:t>The LiverpoolSU’s offer to provide raw data was welcomed by colleagues.</w:t>
      </w:r>
    </w:p>
    <w:p w:rsidR="00DE78A7" w:rsidRPr="00DE78A7" w:rsidRDefault="00DE78A7" w:rsidP="00DE78A7">
      <w:pPr>
        <w:pStyle w:val="ListParagraph"/>
        <w:rPr>
          <w:rFonts w:asciiTheme="minorHAnsi" w:hAnsiTheme="minorHAnsi"/>
        </w:rPr>
      </w:pPr>
    </w:p>
    <w:p w:rsidR="003E7B09" w:rsidRPr="00AE059C" w:rsidRDefault="00842A91" w:rsidP="00285B2B">
      <w:pPr>
        <w:pStyle w:val="ListParagraph"/>
        <w:spacing w:after="0"/>
        <w:ind w:left="0"/>
        <w:jc w:val="right"/>
        <w:rPr>
          <w:rFonts w:asciiTheme="minorHAnsi" w:hAnsiTheme="minorHAnsi" w:cs="Arial"/>
          <w:i/>
          <w:sz w:val="22"/>
          <w:u w:val="single"/>
        </w:rPr>
      </w:pPr>
      <w:r w:rsidRPr="007A2696">
        <w:rPr>
          <w:rFonts w:ascii="Calibri" w:hAnsi="Calibri"/>
          <w:color w:val="000000" w:themeColor="text1"/>
          <w:sz w:val="22"/>
        </w:rPr>
        <w:t>Phil Denton, Associate Dean (Education)</w:t>
      </w:r>
      <w:r w:rsidR="00B6502C">
        <w:rPr>
          <w:rFonts w:ascii="Calibri" w:hAnsi="Calibri"/>
          <w:color w:val="000000" w:themeColor="text1"/>
          <w:sz w:val="22"/>
        </w:rPr>
        <w:t xml:space="preserve">, </w:t>
      </w:r>
      <w:r w:rsidR="00DE78A7">
        <w:rPr>
          <w:rFonts w:ascii="Calibri" w:hAnsi="Calibri"/>
          <w:color w:val="000000" w:themeColor="text1"/>
          <w:sz w:val="22"/>
        </w:rPr>
        <w:t>29</w:t>
      </w:r>
      <w:r w:rsidR="00C52216">
        <w:rPr>
          <w:rFonts w:ascii="Calibri" w:hAnsi="Calibri"/>
          <w:color w:val="000000" w:themeColor="text1"/>
          <w:sz w:val="22"/>
        </w:rPr>
        <w:t>/</w:t>
      </w:r>
      <w:r w:rsidR="00285B2B">
        <w:rPr>
          <w:rFonts w:ascii="Calibri" w:hAnsi="Calibri"/>
          <w:color w:val="000000" w:themeColor="text1"/>
          <w:sz w:val="22"/>
        </w:rPr>
        <w:t>1/15</w:t>
      </w:r>
    </w:p>
    <w:sectPr w:rsidR="003E7B09" w:rsidRPr="00AE059C" w:rsidSect="00285B2B">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0E" w:rsidRDefault="001E0C0E" w:rsidP="005879D6">
      <w:pPr>
        <w:spacing w:after="0" w:line="240" w:lineRule="auto"/>
      </w:pPr>
      <w:r>
        <w:separator/>
      </w:r>
    </w:p>
  </w:endnote>
  <w:endnote w:type="continuationSeparator" w:id="0">
    <w:p w:rsidR="001E0C0E" w:rsidRDefault="001E0C0E" w:rsidP="0058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266"/>
      <w:docPartObj>
        <w:docPartGallery w:val="Page Numbers (Bottom of Page)"/>
        <w:docPartUnique/>
      </w:docPartObj>
    </w:sdtPr>
    <w:sdtEndPr/>
    <w:sdtContent>
      <w:p w:rsidR="00812D5B" w:rsidRDefault="00CB62F5">
        <w:pPr>
          <w:pStyle w:val="Footer"/>
          <w:jc w:val="right"/>
        </w:pPr>
        <w:r>
          <w:fldChar w:fldCharType="begin"/>
        </w:r>
        <w:r w:rsidR="00CE611C">
          <w:instrText xml:space="preserve"> PAGE   \* MERGEFORMAT </w:instrText>
        </w:r>
        <w:r>
          <w:fldChar w:fldCharType="separate"/>
        </w:r>
        <w:r w:rsidR="00DE5710">
          <w:rPr>
            <w:noProof/>
          </w:rPr>
          <w:t>1</w:t>
        </w:r>
        <w:r>
          <w:rPr>
            <w:noProof/>
          </w:rPr>
          <w:fldChar w:fldCharType="end"/>
        </w:r>
      </w:p>
    </w:sdtContent>
  </w:sdt>
  <w:p w:rsidR="00812D5B" w:rsidRDefault="00812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0E" w:rsidRDefault="001E0C0E" w:rsidP="005879D6">
      <w:pPr>
        <w:spacing w:after="0" w:line="240" w:lineRule="auto"/>
      </w:pPr>
      <w:r>
        <w:separator/>
      </w:r>
    </w:p>
  </w:footnote>
  <w:footnote w:type="continuationSeparator" w:id="0">
    <w:p w:rsidR="001E0C0E" w:rsidRDefault="001E0C0E" w:rsidP="00587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FB" w:rsidRPr="00DE6318" w:rsidRDefault="00DE5710" w:rsidP="00DE6318">
    <w:pPr>
      <w:rPr>
        <w:sz w:val="22"/>
      </w:rPr>
    </w:pPr>
    <w:sdt>
      <w:sdtPr>
        <w:rPr>
          <w:rFonts w:asciiTheme="minorHAnsi" w:hAnsiTheme="minorHAnsi"/>
          <w:sz w:val="21"/>
        </w:rPr>
        <w:id w:val="1073779431"/>
        <w:docPartObj>
          <w:docPartGallery w:val="Watermarks"/>
          <w:docPartUnique/>
        </w:docPartObj>
      </w:sdtPr>
      <w:sdtEndPr/>
      <w:sdtContent>
        <w:r>
          <w:rPr>
            <w:rFonts w:asciiTheme="minorHAnsi" w:hAnsiTheme="minorHAnsi"/>
            <w:noProof/>
            <w:sz w:val="21"/>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4D2"/>
    <w:multiLevelType w:val="hybridMultilevel"/>
    <w:tmpl w:val="E2EE8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D4414B"/>
    <w:multiLevelType w:val="hybridMultilevel"/>
    <w:tmpl w:val="503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E1554"/>
    <w:multiLevelType w:val="hybridMultilevel"/>
    <w:tmpl w:val="3288F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FB4D64"/>
    <w:multiLevelType w:val="hybridMultilevel"/>
    <w:tmpl w:val="940A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ED7B49"/>
    <w:multiLevelType w:val="hybridMultilevel"/>
    <w:tmpl w:val="05F4A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E922E18"/>
    <w:multiLevelType w:val="hybridMultilevel"/>
    <w:tmpl w:val="F71E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F3761"/>
    <w:multiLevelType w:val="hybridMultilevel"/>
    <w:tmpl w:val="1DC8F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125D5F"/>
    <w:multiLevelType w:val="hybridMultilevel"/>
    <w:tmpl w:val="9C72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70494C"/>
    <w:multiLevelType w:val="multilevel"/>
    <w:tmpl w:val="87263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4E248F"/>
    <w:multiLevelType w:val="hybridMultilevel"/>
    <w:tmpl w:val="17D24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D41365"/>
    <w:multiLevelType w:val="hybridMultilevel"/>
    <w:tmpl w:val="6B98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0844AD"/>
    <w:multiLevelType w:val="hybridMultilevel"/>
    <w:tmpl w:val="B8D4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8143E"/>
    <w:multiLevelType w:val="hybridMultilevel"/>
    <w:tmpl w:val="8D34A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2E41BF"/>
    <w:multiLevelType w:val="hybridMultilevel"/>
    <w:tmpl w:val="0FA2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6C74D2"/>
    <w:multiLevelType w:val="hybridMultilevel"/>
    <w:tmpl w:val="E6FAC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DD60B6"/>
    <w:multiLevelType w:val="hybridMultilevel"/>
    <w:tmpl w:val="EEE68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AA7F40"/>
    <w:multiLevelType w:val="hybridMultilevel"/>
    <w:tmpl w:val="E492734C"/>
    <w:lvl w:ilvl="0" w:tplc="4A0E5F5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F30E5B"/>
    <w:multiLevelType w:val="hybridMultilevel"/>
    <w:tmpl w:val="FC7E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427DAE"/>
    <w:multiLevelType w:val="hybridMultilevel"/>
    <w:tmpl w:val="C7CA13E0"/>
    <w:lvl w:ilvl="0" w:tplc="08090001">
      <w:start w:val="1"/>
      <w:numFmt w:val="bullet"/>
      <w:lvlText w:val=""/>
      <w:lvlJc w:val="left"/>
      <w:pPr>
        <w:ind w:left="1139" w:hanging="360"/>
      </w:pPr>
      <w:rPr>
        <w:rFonts w:ascii="Symbol" w:hAnsi="Symbol" w:hint="default"/>
      </w:rPr>
    </w:lvl>
    <w:lvl w:ilvl="1" w:tplc="08090003">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9">
    <w:nsid w:val="2ABF16C2"/>
    <w:multiLevelType w:val="hybridMultilevel"/>
    <w:tmpl w:val="A25C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E233E2E"/>
    <w:multiLevelType w:val="hybridMultilevel"/>
    <w:tmpl w:val="6E9A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D135DB"/>
    <w:multiLevelType w:val="hybridMultilevel"/>
    <w:tmpl w:val="8A3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FA1F2E"/>
    <w:multiLevelType w:val="hybridMultilevel"/>
    <w:tmpl w:val="D44AD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A11FD3"/>
    <w:multiLevelType w:val="hybridMultilevel"/>
    <w:tmpl w:val="5028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B215A5"/>
    <w:multiLevelType w:val="hybridMultilevel"/>
    <w:tmpl w:val="8BDAC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843CF0"/>
    <w:multiLevelType w:val="hybridMultilevel"/>
    <w:tmpl w:val="2D38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3A11866"/>
    <w:multiLevelType w:val="hybridMultilevel"/>
    <w:tmpl w:val="8B3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E1D4184"/>
    <w:multiLevelType w:val="hybridMultilevel"/>
    <w:tmpl w:val="36A48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4DB699A"/>
    <w:multiLevelType w:val="hybridMultilevel"/>
    <w:tmpl w:val="2BD8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6615E58"/>
    <w:multiLevelType w:val="hybridMultilevel"/>
    <w:tmpl w:val="2060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255071"/>
    <w:multiLevelType w:val="hybridMultilevel"/>
    <w:tmpl w:val="7590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230E17"/>
    <w:multiLevelType w:val="multilevel"/>
    <w:tmpl w:val="CAFA6A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2">
    <w:nsid w:val="7ED7590E"/>
    <w:multiLevelType w:val="hybridMultilevel"/>
    <w:tmpl w:val="FC56F474"/>
    <w:lvl w:ilvl="0" w:tplc="26E21DB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9A158B"/>
    <w:multiLevelType w:val="hybridMultilevel"/>
    <w:tmpl w:val="D268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9"/>
  </w:num>
  <w:num w:numId="4">
    <w:abstractNumId w:val="33"/>
  </w:num>
  <w:num w:numId="5">
    <w:abstractNumId w:val="4"/>
  </w:num>
  <w:num w:numId="6">
    <w:abstractNumId w:val="32"/>
  </w:num>
  <w:num w:numId="7">
    <w:abstractNumId w:val="16"/>
  </w:num>
  <w:num w:numId="8">
    <w:abstractNumId w:val="15"/>
  </w:num>
  <w:num w:numId="9">
    <w:abstractNumId w:val="8"/>
  </w:num>
  <w:num w:numId="10">
    <w:abstractNumId w:val="20"/>
  </w:num>
  <w:num w:numId="11">
    <w:abstractNumId w:val="18"/>
  </w:num>
  <w:num w:numId="12">
    <w:abstractNumId w:val="17"/>
  </w:num>
  <w:num w:numId="13">
    <w:abstractNumId w:val="10"/>
  </w:num>
  <w:num w:numId="14">
    <w:abstractNumId w:val="23"/>
  </w:num>
  <w:num w:numId="15">
    <w:abstractNumId w:val="0"/>
  </w:num>
  <w:num w:numId="16">
    <w:abstractNumId w:val="6"/>
  </w:num>
  <w:num w:numId="17">
    <w:abstractNumId w:val="3"/>
  </w:num>
  <w:num w:numId="18">
    <w:abstractNumId w:val="19"/>
  </w:num>
  <w:num w:numId="19">
    <w:abstractNumId w:val="2"/>
  </w:num>
  <w:num w:numId="20">
    <w:abstractNumId w:val="14"/>
  </w:num>
  <w:num w:numId="21">
    <w:abstractNumId w:val="24"/>
  </w:num>
  <w:num w:numId="22">
    <w:abstractNumId w:val="31"/>
  </w:num>
  <w:num w:numId="23">
    <w:abstractNumId w:val="12"/>
  </w:num>
  <w:num w:numId="24">
    <w:abstractNumId w:val="27"/>
  </w:num>
  <w:num w:numId="25">
    <w:abstractNumId w:val="22"/>
  </w:num>
  <w:num w:numId="26">
    <w:abstractNumId w:val="5"/>
  </w:num>
  <w:num w:numId="27">
    <w:abstractNumId w:val="7"/>
  </w:num>
  <w:num w:numId="28">
    <w:abstractNumId w:val="21"/>
  </w:num>
  <w:num w:numId="29">
    <w:abstractNumId w:val="9"/>
  </w:num>
  <w:num w:numId="30">
    <w:abstractNumId w:val="26"/>
  </w:num>
  <w:num w:numId="31">
    <w:abstractNumId w:val="28"/>
  </w:num>
  <w:num w:numId="32">
    <w:abstractNumId w:val="25"/>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0E"/>
    <w:rsid w:val="00041B4D"/>
    <w:rsid w:val="0007060E"/>
    <w:rsid w:val="000837AE"/>
    <w:rsid w:val="00084831"/>
    <w:rsid w:val="00095591"/>
    <w:rsid w:val="00097164"/>
    <w:rsid w:val="000C241F"/>
    <w:rsid w:val="000D1B5E"/>
    <w:rsid w:val="000D4148"/>
    <w:rsid w:val="000D7C0F"/>
    <w:rsid w:val="000E113C"/>
    <w:rsid w:val="000E4E5A"/>
    <w:rsid w:val="00110023"/>
    <w:rsid w:val="001334B8"/>
    <w:rsid w:val="00136D68"/>
    <w:rsid w:val="00170171"/>
    <w:rsid w:val="001711FB"/>
    <w:rsid w:val="00171635"/>
    <w:rsid w:val="001718D9"/>
    <w:rsid w:val="00196D00"/>
    <w:rsid w:val="001A7F30"/>
    <w:rsid w:val="001B23CE"/>
    <w:rsid w:val="001B34AC"/>
    <w:rsid w:val="001B6E35"/>
    <w:rsid w:val="001D0660"/>
    <w:rsid w:val="001D145B"/>
    <w:rsid w:val="001D4C64"/>
    <w:rsid w:val="001D6FB8"/>
    <w:rsid w:val="001E0C0E"/>
    <w:rsid w:val="001F12BC"/>
    <w:rsid w:val="002034E2"/>
    <w:rsid w:val="00216EC7"/>
    <w:rsid w:val="00222CCD"/>
    <w:rsid w:val="00254A32"/>
    <w:rsid w:val="00285B2B"/>
    <w:rsid w:val="00291A23"/>
    <w:rsid w:val="002A0B51"/>
    <w:rsid w:val="002A7488"/>
    <w:rsid w:val="002C7997"/>
    <w:rsid w:val="002D67FC"/>
    <w:rsid w:val="002F17FB"/>
    <w:rsid w:val="003131E6"/>
    <w:rsid w:val="003139BD"/>
    <w:rsid w:val="00313A08"/>
    <w:rsid w:val="00315FB4"/>
    <w:rsid w:val="003214BC"/>
    <w:rsid w:val="0032399E"/>
    <w:rsid w:val="003716B3"/>
    <w:rsid w:val="00373434"/>
    <w:rsid w:val="00390DC7"/>
    <w:rsid w:val="003B789A"/>
    <w:rsid w:val="003D0DE8"/>
    <w:rsid w:val="003E7B09"/>
    <w:rsid w:val="003F79D9"/>
    <w:rsid w:val="00404BD7"/>
    <w:rsid w:val="004170B5"/>
    <w:rsid w:val="0042610A"/>
    <w:rsid w:val="00444319"/>
    <w:rsid w:val="00451265"/>
    <w:rsid w:val="00462BA6"/>
    <w:rsid w:val="00464359"/>
    <w:rsid w:val="0049632D"/>
    <w:rsid w:val="004A4634"/>
    <w:rsid w:val="004B151E"/>
    <w:rsid w:val="004E0CCE"/>
    <w:rsid w:val="0050095D"/>
    <w:rsid w:val="005041D7"/>
    <w:rsid w:val="00506323"/>
    <w:rsid w:val="005079C7"/>
    <w:rsid w:val="00543B01"/>
    <w:rsid w:val="0056071A"/>
    <w:rsid w:val="00565BF1"/>
    <w:rsid w:val="00570419"/>
    <w:rsid w:val="00571A61"/>
    <w:rsid w:val="005879D6"/>
    <w:rsid w:val="005A58DA"/>
    <w:rsid w:val="005A598B"/>
    <w:rsid w:val="005A5EFB"/>
    <w:rsid w:val="005B0636"/>
    <w:rsid w:val="005B746B"/>
    <w:rsid w:val="005C0A48"/>
    <w:rsid w:val="005C721B"/>
    <w:rsid w:val="005E7E7F"/>
    <w:rsid w:val="005F38A0"/>
    <w:rsid w:val="005F50D6"/>
    <w:rsid w:val="0060235C"/>
    <w:rsid w:val="006075E0"/>
    <w:rsid w:val="00612375"/>
    <w:rsid w:val="00626A75"/>
    <w:rsid w:val="00641B5E"/>
    <w:rsid w:val="00645C36"/>
    <w:rsid w:val="00660CCB"/>
    <w:rsid w:val="00672B63"/>
    <w:rsid w:val="006732CC"/>
    <w:rsid w:val="006778E4"/>
    <w:rsid w:val="006A2272"/>
    <w:rsid w:val="006C1E36"/>
    <w:rsid w:val="006C6EA8"/>
    <w:rsid w:val="006D1B11"/>
    <w:rsid w:val="006D6005"/>
    <w:rsid w:val="006E4CE4"/>
    <w:rsid w:val="00702757"/>
    <w:rsid w:val="007125BD"/>
    <w:rsid w:val="00735743"/>
    <w:rsid w:val="00737D4E"/>
    <w:rsid w:val="00765E58"/>
    <w:rsid w:val="00777811"/>
    <w:rsid w:val="00786A99"/>
    <w:rsid w:val="007A342B"/>
    <w:rsid w:val="007A4BBE"/>
    <w:rsid w:val="007C30AD"/>
    <w:rsid w:val="007D28DF"/>
    <w:rsid w:val="007D627E"/>
    <w:rsid w:val="00802641"/>
    <w:rsid w:val="00803417"/>
    <w:rsid w:val="00812D5B"/>
    <w:rsid w:val="008420D0"/>
    <w:rsid w:val="00842A91"/>
    <w:rsid w:val="00850FB7"/>
    <w:rsid w:val="00852EA9"/>
    <w:rsid w:val="00861B5B"/>
    <w:rsid w:val="008846BD"/>
    <w:rsid w:val="00887E97"/>
    <w:rsid w:val="008A070E"/>
    <w:rsid w:val="008A6188"/>
    <w:rsid w:val="008B0F85"/>
    <w:rsid w:val="008C564A"/>
    <w:rsid w:val="008F1421"/>
    <w:rsid w:val="008F5FD1"/>
    <w:rsid w:val="00902D38"/>
    <w:rsid w:val="0090742D"/>
    <w:rsid w:val="009302B8"/>
    <w:rsid w:val="0094433A"/>
    <w:rsid w:val="00953700"/>
    <w:rsid w:val="00954203"/>
    <w:rsid w:val="009570CD"/>
    <w:rsid w:val="00960031"/>
    <w:rsid w:val="0097116D"/>
    <w:rsid w:val="00984474"/>
    <w:rsid w:val="00994F30"/>
    <w:rsid w:val="009A19B0"/>
    <w:rsid w:val="009B63EF"/>
    <w:rsid w:val="009B742E"/>
    <w:rsid w:val="009C0275"/>
    <w:rsid w:val="009D0098"/>
    <w:rsid w:val="009E3B1B"/>
    <w:rsid w:val="009E5125"/>
    <w:rsid w:val="009E67E0"/>
    <w:rsid w:val="009F73B8"/>
    <w:rsid w:val="00A037A9"/>
    <w:rsid w:val="00A25A8F"/>
    <w:rsid w:val="00A27A37"/>
    <w:rsid w:val="00A75D66"/>
    <w:rsid w:val="00A92C6E"/>
    <w:rsid w:val="00A94C56"/>
    <w:rsid w:val="00AB5CD9"/>
    <w:rsid w:val="00AB6D01"/>
    <w:rsid w:val="00AC7331"/>
    <w:rsid w:val="00AE059C"/>
    <w:rsid w:val="00AE3B21"/>
    <w:rsid w:val="00AF2208"/>
    <w:rsid w:val="00AF46D5"/>
    <w:rsid w:val="00AF5C70"/>
    <w:rsid w:val="00B106F0"/>
    <w:rsid w:val="00B17532"/>
    <w:rsid w:val="00B23138"/>
    <w:rsid w:val="00B36501"/>
    <w:rsid w:val="00B44D28"/>
    <w:rsid w:val="00B508B0"/>
    <w:rsid w:val="00B546EA"/>
    <w:rsid w:val="00B62CC0"/>
    <w:rsid w:val="00B6502C"/>
    <w:rsid w:val="00BB3F09"/>
    <w:rsid w:val="00BB5EF3"/>
    <w:rsid w:val="00BC7207"/>
    <w:rsid w:val="00BD5635"/>
    <w:rsid w:val="00BF072B"/>
    <w:rsid w:val="00C3428A"/>
    <w:rsid w:val="00C348C1"/>
    <w:rsid w:val="00C477EA"/>
    <w:rsid w:val="00C52216"/>
    <w:rsid w:val="00C5258B"/>
    <w:rsid w:val="00C535EA"/>
    <w:rsid w:val="00C73951"/>
    <w:rsid w:val="00C76744"/>
    <w:rsid w:val="00C875F5"/>
    <w:rsid w:val="00C9766F"/>
    <w:rsid w:val="00C9782A"/>
    <w:rsid w:val="00CB1E3C"/>
    <w:rsid w:val="00CB1E91"/>
    <w:rsid w:val="00CB62F5"/>
    <w:rsid w:val="00CD3FFB"/>
    <w:rsid w:val="00CE611C"/>
    <w:rsid w:val="00CF3969"/>
    <w:rsid w:val="00CF52A2"/>
    <w:rsid w:val="00D039BC"/>
    <w:rsid w:val="00D04B89"/>
    <w:rsid w:val="00D06C2F"/>
    <w:rsid w:val="00D23E28"/>
    <w:rsid w:val="00D26535"/>
    <w:rsid w:val="00D5009B"/>
    <w:rsid w:val="00D527E9"/>
    <w:rsid w:val="00D60AD1"/>
    <w:rsid w:val="00D818FC"/>
    <w:rsid w:val="00D85FA9"/>
    <w:rsid w:val="00D974AD"/>
    <w:rsid w:val="00D97E00"/>
    <w:rsid w:val="00DC64EB"/>
    <w:rsid w:val="00DE419E"/>
    <w:rsid w:val="00DE5710"/>
    <w:rsid w:val="00DE6318"/>
    <w:rsid w:val="00DE78A7"/>
    <w:rsid w:val="00E0335C"/>
    <w:rsid w:val="00E04056"/>
    <w:rsid w:val="00E04BAD"/>
    <w:rsid w:val="00E0750B"/>
    <w:rsid w:val="00E26593"/>
    <w:rsid w:val="00E362AF"/>
    <w:rsid w:val="00EA1A2F"/>
    <w:rsid w:val="00EB0CA5"/>
    <w:rsid w:val="00ED4DB3"/>
    <w:rsid w:val="00ED6BDA"/>
    <w:rsid w:val="00ED79F9"/>
    <w:rsid w:val="00ED7E5C"/>
    <w:rsid w:val="00F10E75"/>
    <w:rsid w:val="00F32644"/>
    <w:rsid w:val="00F34A29"/>
    <w:rsid w:val="00F4136C"/>
    <w:rsid w:val="00F442BF"/>
    <w:rsid w:val="00F537DF"/>
    <w:rsid w:val="00F55EDE"/>
    <w:rsid w:val="00F61774"/>
    <w:rsid w:val="00F66047"/>
    <w:rsid w:val="00F71B97"/>
    <w:rsid w:val="00F80AC6"/>
    <w:rsid w:val="00FA3D5F"/>
    <w:rsid w:val="00FB2E0B"/>
    <w:rsid w:val="00FD7016"/>
    <w:rsid w:val="00FE4DD4"/>
    <w:rsid w:val="00FE62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070E"/>
    <w:pPr>
      <w:ind w:left="720"/>
      <w:contextualSpacing/>
    </w:pPr>
  </w:style>
  <w:style w:type="table" w:styleId="TableGrid">
    <w:name w:val="Table Grid"/>
    <w:basedOn w:val="TableNormal"/>
    <w:uiPriority w:val="99"/>
    <w:rsid w:val="008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9D6"/>
  </w:style>
  <w:style w:type="paragraph" w:styleId="Footer">
    <w:name w:val="footer"/>
    <w:basedOn w:val="Normal"/>
    <w:link w:val="FooterChar"/>
    <w:uiPriority w:val="99"/>
    <w:unhideWhenUsed/>
    <w:rsid w:val="0058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9D6"/>
  </w:style>
  <w:style w:type="paragraph" w:styleId="BalloonText">
    <w:name w:val="Balloon Text"/>
    <w:basedOn w:val="Normal"/>
    <w:link w:val="BalloonTextChar"/>
    <w:uiPriority w:val="99"/>
    <w:semiHidden/>
    <w:unhideWhenUsed/>
    <w:rsid w:val="004A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634"/>
    <w:rPr>
      <w:rFonts w:ascii="Tahoma" w:hAnsi="Tahoma" w:cs="Tahoma"/>
      <w:sz w:val="16"/>
      <w:szCs w:val="16"/>
    </w:rPr>
  </w:style>
  <w:style w:type="paragraph" w:styleId="PlainText">
    <w:name w:val="Plain Text"/>
    <w:basedOn w:val="Normal"/>
    <w:link w:val="PlainTextChar"/>
    <w:uiPriority w:val="99"/>
    <w:unhideWhenUsed/>
    <w:rsid w:val="000C241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C241F"/>
    <w:rPr>
      <w:rFonts w:ascii="Calibri" w:hAnsi="Calibri"/>
      <w:sz w:val="22"/>
      <w:szCs w:val="21"/>
    </w:rPr>
  </w:style>
  <w:style w:type="character" w:styleId="CommentReference">
    <w:name w:val="annotation reference"/>
    <w:basedOn w:val="DefaultParagraphFont"/>
    <w:uiPriority w:val="99"/>
    <w:semiHidden/>
    <w:unhideWhenUsed/>
    <w:rsid w:val="000D4148"/>
    <w:rPr>
      <w:sz w:val="16"/>
      <w:szCs w:val="16"/>
    </w:rPr>
  </w:style>
  <w:style w:type="paragraph" w:styleId="CommentText">
    <w:name w:val="annotation text"/>
    <w:basedOn w:val="Normal"/>
    <w:link w:val="CommentTextChar"/>
    <w:uiPriority w:val="99"/>
    <w:semiHidden/>
    <w:unhideWhenUsed/>
    <w:rsid w:val="000D4148"/>
    <w:pPr>
      <w:spacing w:line="240" w:lineRule="auto"/>
    </w:pPr>
    <w:rPr>
      <w:sz w:val="20"/>
      <w:szCs w:val="20"/>
    </w:rPr>
  </w:style>
  <w:style w:type="character" w:customStyle="1" w:styleId="CommentTextChar">
    <w:name w:val="Comment Text Char"/>
    <w:basedOn w:val="DefaultParagraphFont"/>
    <w:link w:val="CommentText"/>
    <w:uiPriority w:val="99"/>
    <w:semiHidden/>
    <w:rsid w:val="000D4148"/>
    <w:rPr>
      <w:sz w:val="20"/>
      <w:szCs w:val="20"/>
    </w:rPr>
  </w:style>
  <w:style w:type="paragraph" w:styleId="CommentSubject">
    <w:name w:val="annotation subject"/>
    <w:basedOn w:val="CommentText"/>
    <w:next w:val="CommentText"/>
    <w:link w:val="CommentSubjectChar"/>
    <w:uiPriority w:val="99"/>
    <w:semiHidden/>
    <w:unhideWhenUsed/>
    <w:rsid w:val="000D4148"/>
    <w:rPr>
      <w:b/>
      <w:bCs/>
    </w:rPr>
  </w:style>
  <w:style w:type="character" w:customStyle="1" w:styleId="CommentSubjectChar">
    <w:name w:val="Comment Subject Char"/>
    <w:basedOn w:val="CommentTextChar"/>
    <w:link w:val="CommentSubject"/>
    <w:uiPriority w:val="99"/>
    <w:semiHidden/>
    <w:rsid w:val="000D4148"/>
    <w:rPr>
      <w:b/>
      <w:bCs/>
      <w:sz w:val="20"/>
      <w:szCs w:val="20"/>
    </w:rPr>
  </w:style>
  <w:style w:type="character" w:styleId="Hyperlink">
    <w:name w:val="Hyperlink"/>
    <w:basedOn w:val="DefaultParagraphFont"/>
    <w:uiPriority w:val="99"/>
    <w:unhideWhenUsed/>
    <w:rsid w:val="00F413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070E"/>
    <w:pPr>
      <w:ind w:left="720"/>
      <w:contextualSpacing/>
    </w:pPr>
  </w:style>
  <w:style w:type="table" w:styleId="TableGrid">
    <w:name w:val="Table Grid"/>
    <w:basedOn w:val="TableNormal"/>
    <w:uiPriority w:val="99"/>
    <w:rsid w:val="008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9D6"/>
  </w:style>
  <w:style w:type="paragraph" w:styleId="Footer">
    <w:name w:val="footer"/>
    <w:basedOn w:val="Normal"/>
    <w:link w:val="FooterChar"/>
    <w:uiPriority w:val="99"/>
    <w:unhideWhenUsed/>
    <w:rsid w:val="0058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9D6"/>
  </w:style>
  <w:style w:type="paragraph" w:styleId="BalloonText">
    <w:name w:val="Balloon Text"/>
    <w:basedOn w:val="Normal"/>
    <w:link w:val="BalloonTextChar"/>
    <w:uiPriority w:val="99"/>
    <w:semiHidden/>
    <w:unhideWhenUsed/>
    <w:rsid w:val="004A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634"/>
    <w:rPr>
      <w:rFonts w:ascii="Tahoma" w:hAnsi="Tahoma" w:cs="Tahoma"/>
      <w:sz w:val="16"/>
      <w:szCs w:val="16"/>
    </w:rPr>
  </w:style>
  <w:style w:type="paragraph" w:styleId="PlainText">
    <w:name w:val="Plain Text"/>
    <w:basedOn w:val="Normal"/>
    <w:link w:val="PlainTextChar"/>
    <w:uiPriority w:val="99"/>
    <w:unhideWhenUsed/>
    <w:rsid w:val="000C241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C241F"/>
    <w:rPr>
      <w:rFonts w:ascii="Calibri" w:hAnsi="Calibri"/>
      <w:sz w:val="22"/>
      <w:szCs w:val="21"/>
    </w:rPr>
  </w:style>
  <w:style w:type="character" w:styleId="CommentReference">
    <w:name w:val="annotation reference"/>
    <w:basedOn w:val="DefaultParagraphFont"/>
    <w:uiPriority w:val="99"/>
    <w:semiHidden/>
    <w:unhideWhenUsed/>
    <w:rsid w:val="000D4148"/>
    <w:rPr>
      <w:sz w:val="16"/>
      <w:szCs w:val="16"/>
    </w:rPr>
  </w:style>
  <w:style w:type="paragraph" w:styleId="CommentText">
    <w:name w:val="annotation text"/>
    <w:basedOn w:val="Normal"/>
    <w:link w:val="CommentTextChar"/>
    <w:uiPriority w:val="99"/>
    <w:semiHidden/>
    <w:unhideWhenUsed/>
    <w:rsid w:val="000D4148"/>
    <w:pPr>
      <w:spacing w:line="240" w:lineRule="auto"/>
    </w:pPr>
    <w:rPr>
      <w:sz w:val="20"/>
      <w:szCs w:val="20"/>
    </w:rPr>
  </w:style>
  <w:style w:type="character" w:customStyle="1" w:styleId="CommentTextChar">
    <w:name w:val="Comment Text Char"/>
    <w:basedOn w:val="DefaultParagraphFont"/>
    <w:link w:val="CommentText"/>
    <w:uiPriority w:val="99"/>
    <w:semiHidden/>
    <w:rsid w:val="000D4148"/>
    <w:rPr>
      <w:sz w:val="20"/>
      <w:szCs w:val="20"/>
    </w:rPr>
  </w:style>
  <w:style w:type="paragraph" w:styleId="CommentSubject">
    <w:name w:val="annotation subject"/>
    <w:basedOn w:val="CommentText"/>
    <w:next w:val="CommentText"/>
    <w:link w:val="CommentSubjectChar"/>
    <w:uiPriority w:val="99"/>
    <w:semiHidden/>
    <w:unhideWhenUsed/>
    <w:rsid w:val="000D4148"/>
    <w:rPr>
      <w:b/>
      <w:bCs/>
    </w:rPr>
  </w:style>
  <w:style w:type="character" w:customStyle="1" w:styleId="CommentSubjectChar">
    <w:name w:val="Comment Subject Char"/>
    <w:basedOn w:val="CommentTextChar"/>
    <w:link w:val="CommentSubject"/>
    <w:uiPriority w:val="99"/>
    <w:semiHidden/>
    <w:rsid w:val="000D4148"/>
    <w:rPr>
      <w:b/>
      <w:bCs/>
      <w:sz w:val="20"/>
      <w:szCs w:val="20"/>
    </w:rPr>
  </w:style>
  <w:style w:type="character" w:styleId="Hyperlink">
    <w:name w:val="Hyperlink"/>
    <w:basedOn w:val="DefaultParagraphFont"/>
    <w:uiPriority w:val="99"/>
    <w:unhideWhenUsed/>
    <w:rsid w:val="00F41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9435">
      <w:bodyDiv w:val="1"/>
      <w:marLeft w:val="0"/>
      <w:marRight w:val="0"/>
      <w:marTop w:val="0"/>
      <w:marBottom w:val="0"/>
      <w:divBdr>
        <w:top w:val="none" w:sz="0" w:space="0" w:color="auto"/>
        <w:left w:val="none" w:sz="0" w:space="0" w:color="auto"/>
        <w:bottom w:val="none" w:sz="0" w:space="0" w:color="auto"/>
        <w:right w:val="none" w:sz="0" w:space="0" w:color="auto"/>
      </w:divBdr>
    </w:div>
    <w:div w:id="1224414193">
      <w:bodyDiv w:val="1"/>
      <w:marLeft w:val="0"/>
      <w:marRight w:val="0"/>
      <w:marTop w:val="0"/>
      <w:marBottom w:val="0"/>
      <w:divBdr>
        <w:top w:val="none" w:sz="0" w:space="0" w:color="auto"/>
        <w:left w:val="none" w:sz="0" w:space="0" w:color="auto"/>
        <w:bottom w:val="none" w:sz="0" w:space="0" w:color="auto"/>
        <w:right w:val="none" w:sz="0" w:space="0" w:color="auto"/>
      </w:divBdr>
    </w:div>
    <w:div w:id="1345284878">
      <w:bodyDiv w:val="1"/>
      <w:marLeft w:val="0"/>
      <w:marRight w:val="0"/>
      <w:marTop w:val="0"/>
      <w:marBottom w:val="0"/>
      <w:divBdr>
        <w:top w:val="none" w:sz="0" w:space="0" w:color="auto"/>
        <w:left w:val="none" w:sz="0" w:space="0" w:color="auto"/>
        <w:bottom w:val="none" w:sz="0" w:space="0" w:color="auto"/>
        <w:right w:val="none" w:sz="0" w:space="0" w:color="auto"/>
      </w:divBdr>
    </w:div>
    <w:div w:id="1367170441">
      <w:bodyDiv w:val="1"/>
      <w:marLeft w:val="0"/>
      <w:marRight w:val="0"/>
      <w:marTop w:val="0"/>
      <w:marBottom w:val="0"/>
      <w:divBdr>
        <w:top w:val="none" w:sz="0" w:space="0" w:color="auto"/>
        <w:left w:val="none" w:sz="0" w:space="0" w:color="auto"/>
        <w:bottom w:val="none" w:sz="0" w:space="0" w:color="auto"/>
        <w:right w:val="none" w:sz="0" w:space="0" w:color="auto"/>
      </w:divBdr>
    </w:div>
    <w:div w:id="14108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wie.ljmu.ac.uk/FacultyLTA/Staff%20Development%20Day%2015%2012%2014.htm" TargetMode="External"/><Relationship Id="rId18" Type="http://schemas.openxmlformats.org/officeDocument/2006/relationships/hyperlink" Target="http://www.staff.livjm.ac.uk/phcpdent/FacultyLTA/2013%20SCS%20Tutorial%20Schem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owie.ljmu.ac.uk/FacultyLTA/Home.htm" TargetMode="External"/><Relationship Id="rId17" Type="http://schemas.openxmlformats.org/officeDocument/2006/relationships/hyperlink" Target="http://www.staff.livjm.ac.uk/phcpdent/FacultyLTA/Deviation%20of%20timetabled%20classes.docx" TargetMode="External"/><Relationship Id="rId2" Type="http://schemas.openxmlformats.org/officeDocument/2006/relationships/customXml" Target="../customXml/item2.xml"/><Relationship Id="rId16" Type="http://schemas.openxmlformats.org/officeDocument/2006/relationships/hyperlink" Target="http://www.staff.livjm.ac.uk/phcpdent/FacultyLTA/Faculty%20Tutorial%20Resources%20-%20Feedback.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Lecture%20materials%20on%20Blackboard" TargetMode="External"/><Relationship Id="rId5" Type="http://schemas.openxmlformats.org/officeDocument/2006/relationships/styles" Target="styles.xml"/><Relationship Id="rId15" Type="http://schemas.openxmlformats.org/officeDocument/2006/relationships/hyperlink" Target="http://www.staff.livjm.ac.uk/phcpdent/FacultyLTA/2013%20SCS%20Tutorial%20Scheme.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taff.livjm.ac.uk/phcpdent/FacultyLTA/LTA%20update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mittee_x0020_Meeting_x0020_Date xmlns="5a73d072-0704-4f4d-8065-b26870d07dd7">2012-12-12T00:00:00+00:00</Committee_x0020_Meeting_x0020_Date>
    <Academic_x0020_Year xmlns="5a73d072-0704-4f4d-8065-b26870d07dd7">2012 - 2013</Academic_x0020_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32408BD51C254B9F586F89B2189AB8" ma:contentTypeVersion="3" ma:contentTypeDescription="Create a new document." ma:contentTypeScope="" ma:versionID="c0e88b827ea32b70b23d0384bb497ae8">
  <xsd:schema xmlns:xsd="http://www.w3.org/2001/XMLSchema" xmlns:p="http://schemas.microsoft.com/office/2006/metadata/properties" xmlns:ns2="5a73d072-0704-4f4d-8065-b26870d07dd7" targetNamespace="http://schemas.microsoft.com/office/2006/metadata/properties" ma:root="true" ma:fieldsID="88f053faa60a3c31bab80707eb7de7d6" ns2:_="">
    <xsd:import namespace="5a73d072-0704-4f4d-8065-b26870d07dd7"/>
    <xsd:element name="properties">
      <xsd:complexType>
        <xsd:sequence>
          <xsd:element name="documentManagement">
            <xsd:complexType>
              <xsd:all>
                <xsd:element ref="ns2:Committee_x0020_Meeting_x0020_Date"/>
                <xsd:element ref="ns2:Academic_x0020_Year"/>
              </xsd:all>
            </xsd:complexType>
          </xsd:element>
        </xsd:sequence>
      </xsd:complexType>
    </xsd:element>
  </xsd:schema>
  <xsd:schema xmlns:xsd="http://www.w3.org/2001/XMLSchema" xmlns:dms="http://schemas.microsoft.com/office/2006/documentManagement/types" targetNamespace="5a73d072-0704-4f4d-8065-b26870d07dd7" elementFormDefault="qualified">
    <xsd:import namespace="http://schemas.microsoft.com/office/2006/documentManagement/types"/>
    <xsd:element name="Committee_x0020_Meeting_x0020_Date" ma:index="8" ma:displayName="Committee Meeting Date" ma:format="DateOnly" ma:internalName="Committee_x0020_Meeting_x0020_Date">
      <xsd:simpleType>
        <xsd:restriction base="dms:DateTime"/>
      </xsd:simpleType>
    </xsd:element>
    <xsd:element name="Academic_x0020_Year" ma:index="9" ma:displayName="Academic Year" ma:default="2012 - 2013" ma:format="Dropdown" ma:internalName="Academic_x0020_Year">
      <xsd:simpleType>
        <xsd:restriction base="dms:Choice">
          <xsd:enumeration value="2005 - 2006"/>
          <xsd:enumeration value="2006 - 2007"/>
          <xsd:enumeration value="2007 - 2008"/>
          <xsd:enumeration value="2008 - 2009"/>
          <xsd:enumeration value="2009 - 2010"/>
          <xsd:enumeration value="2010 - 2011"/>
          <xsd:enumeration value="2011 - 2012"/>
          <xsd:enumeration value="2012 - 2013"/>
          <xsd:enumeration value="2013 - 2014"/>
          <xsd:enumeration value="2014 - 2015"/>
          <xsd:enumeration value="2015 - 2016"/>
          <xsd:enumeration value="2016 - 2017"/>
          <xsd:enumeration value="2017 - 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E8888-9A6F-4060-AA27-66AF373106FB}">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5a73d072-0704-4f4d-8065-b26870d07dd7"/>
    <ds:schemaRef ds:uri="http://purl.org/dc/terms/"/>
  </ds:schemaRefs>
</ds:datastoreItem>
</file>

<file path=customXml/itemProps2.xml><?xml version="1.0" encoding="utf-8"?>
<ds:datastoreItem xmlns:ds="http://schemas.openxmlformats.org/officeDocument/2006/customXml" ds:itemID="{0359CA9A-3895-4EAD-8A6E-0259516E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d072-0704-4f4d-8065-b26870d07dd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FEEBD3-D950-4168-B067-7BB148038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Cotgrave, Alison</dc:creator>
  <cp:lastModifiedBy>phcpdent</cp:lastModifiedBy>
  <cp:revision>49</cp:revision>
  <cp:lastPrinted>2013-10-04T12:51:00Z</cp:lastPrinted>
  <dcterms:created xsi:type="dcterms:W3CDTF">2015-01-08T13:07:00Z</dcterms:created>
  <dcterms:modified xsi:type="dcterms:W3CDTF">2015-10-13T10:20:00Z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0x010100E132408BD51C254B9F586F89B2189AB8</vt:lpwstr>
  </property>
</Properties>
</file>